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bCs/>
          <w:color w:val="FF0000"/>
          <w:sz w:val="82"/>
          <w:szCs w:val="82"/>
          <w:lang w:val="zh-CN"/>
        </w:rPr>
      </w:pPr>
      <w:r>
        <w:rPr>
          <w:rFonts w:hint="eastAsia" w:ascii="方正小标宋简体" w:hAnsi="方正小标宋简体" w:eastAsia="方正小标宋简体" w:cs="方正小标宋简体"/>
          <w:b w:val="0"/>
          <w:bCs/>
          <w:color w:val="FF0000"/>
          <w:sz w:val="82"/>
          <w:szCs w:val="82"/>
          <w:lang w:val="zh-CN"/>
        </w:rPr>
        <w:t>广东青年发展工作简报</w:t>
      </w:r>
    </w:p>
    <w:p>
      <w:pPr>
        <w:rPr>
          <w:rFonts w:ascii="方正仿宋_GBK" w:hAnsi="方正仿宋_GBK" w:eastAsia="方正仿宋_GBK" w:cs="方正仿宋_GBK"/>
          <w:b w:val="0"/>
          <w:bCs/>
          <w:color w:val="000000"/>
          <w:sz w:val="32"/>
          <w:szCs w:val="32"/>
          <w:highlight w:val="none"/>
          <w:lang w:val="zh-CN"/>
        </w:rPr>
      </w:pPr>
    </w:p>
    <w:p>
      <w:pPr>
        <w:autoSpaceDE w:val="0"/>
        <w:autoSpaceDN w:val="0"/>
        <w:adjustRightInd w:val="0"/>
        <w:snapToGrid w:val="0"/>
        <w:jc w:val="center"/>
        <w:rPr>
          <w:rFonts w:ascii="黑体" w:hAnsi="黑体" w:eastAsia="黑体" w:cs="黑体"/>
          <w:b w:val="0"/>
          <w:bCs/>
          <w:sz w:val="32"/>
          <w:szCs w:val="32"/>
          <w:highlight w:val="none"/>
          <w:lang w:val="zh-CN"/>
        </w:rPr>
      </w:pPr>
      <w:r>
        <w:rPr>
          <w:rFonts w:hint="eastAsia" w:ascii="黑体" w:hAnsi="黑体" w:eastAsia="黑体" w:cs="黑体"/>
          <w:b w:val="0"/>
          <w:bCs/>
          <w:sz w:val="32"/>
          <w:szCs w:val="32"/>
          <w:highlight w:val="none"/>
          <w:lang w:val="zh-CN"/>
        </w:rPr>
        <w:t>第</w:t>
      </w:r>
      <w:r>
        <w:rPr>
          <w:rFonts w:hint="eastAsia" w:ascii="黑体" w:hAnsi="黑体" w:eastAsia="黑体" w:cs="黑体"/>
          <w:b w:val="0"/>
          <w:bCs/>
          <w:sz w:val="32"/>
          <w:szCs w:val="32"/>
          <w:highlight w:val="none"/>
          <w:lang w:val="en-US" w:eastAsia="zh-CN"/>
        </w:rPr>
        <w:t xml:space="preserve"> 4 </w:t>
      </w:r>
      <w:r>
        <w:rPr>
          <w:rFonts w:hint="eastAsia" w:ascii="黑体" w:hAnsi="黑体" w:eastAsia="黑体" w:cs="黑体"/>
          <w:b w:val="0"/>
          <w:bCs/>
          <w:sz w:val="32"/>
          <w:szCs w:val="32"/>
          <w:highlight w:val="none"/>
        </w:rPr>
        <w:t>期</w:t>
      </w:r>
    </w:p>
    <w:p>
      <w:pPr>
        <w:rPr>
          <w:rFonts w:ascii="方正仿宋_GBK" w:hAnsi="方正仿宋_GBK" w:eastAsia="方正仿宋_GBK" w:cs="方正仿宋_GBK"/>
          <w:b w:val="0"/>
          <w:bCs/>
          <w:color w:val="000000"/>
          <w:sz w:val="32"/>
          <w:szCs w:val="32"/>
          <w:highlight w:val="none"/>
          <w:lang w:val="zh-CN"/>
        </w:rPr>
      </w:pPr>
    </w:p>
    <w:p>
      <w:pPr>
        <w:rPr>
          <w:rFonts w:ascii="方正仿宋_GBK" w:hAnsi="方正仿宋_GBK" w:eastAsia="方正仿宋_GBK" w:cs="方正仿宋_GBK"/>
          <w:b w:val="0"/>
          <w:bCs/>
          <w:color w:val="000000"/>
          <w:sz w:val="32"/>
          <w:szCs w:val="32"/>
          <w:highlight w:val="none"/>
          <w:lang w:val="zh-CN"/>
        </w:rPr>
      </w:pPr>
      <w:r>
        <w:rPr>
          <w:rFonts w:hint="eastAsia" w:ascii="方正仿宋_GBK" w:hAnsi="方正仿宋_GBK" w:eastAsia="方正仿宋_GBK" w:cs="方正仿宋_GBK"/>
          <w:b w:val="0"/>
          <w:bCs/>
          <w:color w:val="000000"/>
          <w:sz w:val="32"/>
          <w:szCs w:val="32"/>
          <w:highlight w:val="none"/>
          <w:lang w:val="zh-CN"/>
        </w:rPr>
        <w:t>共青团广东省委青年发展部编        20</w:t>
      </w:r>
      <w:r>
        <w:rPr>
          <w:rFonts w:hint="eastAsia" w:ascii="方正仿宋_GBK" w:hAnsi="方正仿宋_GBK" w:eastAsia="方正仿宋_GBK" w:cs="方正仿宋_GBK"/>
          <w:b w:val="0"/>
          <w:bCs/>
          <w:color w:val="000000"/>
          <w:sz w:val="32"/>
          <w:szCs w:val="32"/>
          <w:highlight w:val="none"/>
        </w:rPr>
        <w:t>2</w:t>
      </w:r>
      <w:r>
        <w:rPr>
          <w:rFonts w:hint="eastAsia" w:ascii="方正仿宋_GBK" w:hAnsi="方正仿宋_GBK" w:eastAsia="方正仿宋_GBK" w:cs="方正仿宋_GBK"/>
          <w:b w:val="0"/>
          <w:bCs/>
          <w:color w:val="000000"/>
          <w:sz w:val="32"/>
          <w:szCs w:val="32"/>
          <w:highlight w:val="none"/>
          <w:lang w:val="en-US" w:eastAsia="zh-CN"/>
        </w:rPr>
        <w:t>2</w:t>
      </w:r>
      <w:r>
        <w:rPr>
          <w:rFonts w:hint="eastAsia" w:ascii="方正仿宋_GBK" w:hAnsi="方正仿宋_GBK" w:eastAsia="方正仿宋_GBK" w:cs="方正仿宋_GBK"/>
          <w:b w:val="0"/>
          <w:bCs/>
          <w:color w:val="000000"/>
          <w:sz w:val="32"/>
          <w:szCs w:val="32"/>
          <w:highlight w:val="none"/>
          <w:lang w:val="zh-CN"/>
        </w:rPr>
        <w:t>年</w:t>
      </w:r>
      <w:r>
        <w:rPr>
          <w:rFonts w:hint="eastAsia" w:ascii="方正仿宋_GBK" w:hAnsi="方正仿宋_GBK" w:eastAsia="方正仿宋_GBK" w:cs="方正仿宋_GBK"/>
          <w:b w:val="0"/>
          <w:bCs/>
          <w:color w:val="000000"/>
          <w:sz w:val="32"/>
          <w:szCs w:val="32"/>
          <w:highlight w:val="none"/>
          <w:lang w:val="en-US" w:eastAsia="zh-CN"/>
        </w:rPr>
        <w:t>2</w:t>
      </w:r>
      <w:r>
        <w:rPr>
          <w:rFonts w:hint="eastAsia" w:ascii="方正仿宋_GBK" w:hAnsi="方正仿宋_GBK" w:eastAsia="方正仿宋_GBK" w:cs="方正仿宋_GBK"/>
          <w:b w:val="0"/>
          <w:bCs/>
          <w:color w:val="000000"/>
          <w:sz w:val="32"/>
          <w:szCs w:val="32"/>
          <w:highlight w:val="none"/>
          <w:lang w:val="zh-CN"/>
        </w:rPr>
        <w:t>月</w:t>
      </w:r>
      <w:r>
        <w:rPr>
          <w:rFonts w:hint="eastAsia" w:ascii="方正仿宋_GBK" w:hAnsi="方正仿宋_GBK" w:eastAsia="方正仿宋_GBK" w:cs="方正仿宋_GBK"/>
          <w:b w:val="0"/>
          <w:bCs/>
          <w:color w:val="000000"/>
          <w:sz w:val="32"/>
          <w:szCs w:val="32"/>
          <w:highlight w:val="none"/>
          <w:lang w:val="en-US" w:eastAsia="zh-CN"/>
        </w:rPr>
        <w:t xml:space="preserve"> 25 </w:t>
      </w:r>
      <w:r>
        <w:rPr>
          <w:rFonts w:hint="eastAsia" w:ascii="方正仿宋_GBK" w:hAnsi="方正仿宋_GBK" w:eastAsia="方正仿宋_GBK" w:cs="方正仿宋_GBK"/>
          <w:b w:val="0"/>
          <w:bCs/>
          <w:color w:val="000000"/>
          <w:sz w:val="32"/>
          <w:szCs w:val="32"/>
          <w:highlight w:val="none"/>
          <w:lang w:val="zh-CN"/>
        </w:rPr>
        <w:t>日</w:t>
      </w:r>
    </w:p>
    <w:p>
      <w:pPr>
        <w:ind w:firstLine="640" w:firstLineChars="200"/>
        <w:rPr>
          <w:rFonts w:hint="eastAsia"/>
          <w:b w:val="0"/>
          <w:bCs/>
          <w:highlight w:val="none"/>
          <w:lang w:val="en-US" w:eastAsia="zh-CN"/>
        </w:rPr>
      </w:pPr>
      <w:r>
        <w:rPr>
          <w:rFonts w:ascii="仿宋_GB2312" w:hAnsi="仿宋_GB2312" w:eastAsia="仿宋_GB2312"/>
          <w:b w:val="0"/>
          <w:bCs/>
          <w:sz w:val="32"/>
          <w:szCs w:val="44"/>
          <w:highlight w:val="none"/>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75565</wp:posOffset>
                </wp:positionV>
                <wp:extent cx="5399405" cy="24765"/>
                <wp:effectExtent l="0" t="7620" r="10795" b="2476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399405" cy="24765"/>
                        </a:xfrm>
                        <a:prstGeom prst="line">
                          <a:avLst/>
                        </a:prstGeom>
                        <a:noFill/>
                        <a:ln w="15875" cmpd="sng">
                          <a:solidFill>
                            <a:srgbClr val="FF0000"/>
                          </a:solidFill>
                          <a:round/>
                        </a:ln>
                        <a:effectLst/>
                      </wps:spPr>
                      <wps:bodyPr/>
                    </wps:wsp>
                  </a:graphicData>
                </a:graphic>
              </wp:anchor>
            </w:drawing>
          </mc:Choice>
          <mc:Fallback>
            <w:pict>
              <v:line id="_x0000_s1026" o:spid="_x0000_s1026" o:spt="20" style="position:absolute;left:0pt;flip:y;margin-left:-8.1pt;margin-top:5.95pt;height:1.95pt;width:425.15pt;z-index:251659264;mso-width-relative:page;mso-height-relative:page;" filled="f" stroked="t" coordsize="21600,21600" o:gfxdata="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bKtGd1wAAAAkBAAAPAAAAAAAAAAEAIAAAADgAAABkcnMvZG93bnJldi54&#10;bWxQSwECFAAUAAAACACHTuJAOtzGf+UBAACKAwAADgAAAAAAAAABACAAAAA8AQAAZHJzL2Uyb0Rv&#10;Yy54bWxQSwUGAAAAAAYABgBZAQAAkwUAAAAA&#10;">
                <v:fill on="f" focussize="0,0"/>
                <v:stroke weight="1.25pt" color="#FF0000" joinstyle="round"/>
                <v:imagedata o:title=""/>
                <o:lock v:ext="edit" aspectratio="f"/>
              </v:line>
            </w:pict>
          </mc:Fallback>
        </mc:AlternateConten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color w:val="000000"/>
          <w:sz w:val="32"/>
          <w:szCs w:val="32"/>
          <w:highlight w:val="none"/>
          <w:lang w:val="en-US" w:eastAsia="zh-CN"/>
        </w:rPr>
        <w:t>【</w:t>
      </w:r>
      <w:r>
        <w:rPr>
          <w:rFonts w:hint="eastAsia" w:ascii="方正黑体_GBK" w:hAnsi="方正黑体_GBK" w:eastAsia="方正黑体_GBK" w:cs="方正黑体_GBK"/>
          <w:color w:val="auto"/>
          <w:kern w:val="2"/>
          <w:sz w:val="32"/>
          <w:szCs w:val="32"/>
          <w:highlight w:val="none"/>
          <w:lang w:val="en-US" w:eastAsia="zh-CN"/>
        </w:rPr>
        <w:t>编者按</w:t>
      </w:r>
      <w:r>
        <w:rPr>
          <w:rFonts w:hint="eastAsia" w:ascii="方正黑体_GBK" w:hAnsi="方正黑体_GBK" w:eastAsia="方正黑体_GBK" w:cs="方正黑体_GBK"/>
          <w:b w:val="0"/>
          <w:bCs/>
          <w:color w:val="000000"/>
          <w:sz w:val="32"/>
          <w:szCs w:val="32"/>
          <w:highlight w:val="none"/>
          <w:lang w:val="en-US" w:eastAsia="zh-CN"/>
        </w:rPr>
        <w:t>】</w:t>
      </w:r>
      <w:r>
        <w:rPr>
          <w:rFonts w:hint="eastAsia" w:ascii="方正楷体_GBK" w:hAnsi="方正楷体_GBK" w:eastAsia="方正楷体_GBK" w:cs="方正楷体_GBK"/>
          <w:i w:val="0"/>
          <w:caps w:val="0"/>
          <w:color w:val="auto"/>
          <w:spacing w:val="0"/>
          <w:sz w:val="32"/>
          <w:szCs w:val="32"/>
          <w:shd w:val="clear" w:fill="FFFFFF"/>
          <w:lang w:val="en-US" w:eastAsia="zh-CN"/>
        </w:rPr>
        <w:t>为深入学习贯彻习近平总书记对做好“三农”工作作出的重要指示和中央农村工作会议</w:t>
      </w:r>
      <w:bookmarkStart w:id="0" w:name="_GoBack"/>
      <w:bookmarkEnd w:id="0"/>
      <w:r>
        <w:rPr>
          <w:rFonts w:hint="eastAsia" w:ascii="方正楷体_GBK" w:hAnsi="方正楷体_GBK" w:eastAsia="方正楷体_GBK" w:cs="方正楷体_GBK"/>
          <w:i w:val="0"/>
          <w:caps w:val="0"/>
          <w:color w:val="auto"/>
          <w:spacing w:val="0"/>
          <w:sz w:val="32"/>
          <w:szCs w:val="32"/>
          <w:shd w:val="clear" w:fill="FFFFFF"/>
          <w:lang w:val="en-US" w:eastAsia="zh-CN"/>
        </w:rPr>
        <w:t>精神，围绕乡村振兴工作大局，加强对全省青少年乡村振兴工作统筹，不断提升共青团组织在乡村振兴领域的大局贡献度，广东共青团投身乡村振兴工作领导小组召开2022年第1次会议。会议听取了广东共青团投身乡村振兴工作情况汇报，审议并通过了《广东共青团关于深化实施乡村振兴青春建功行动的工作方案》。现将会议相关情况和工作方案编发，请各地认真学习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auto"/>
          <w:spacing w:val="0"/>
          <w:sz w:val="44"/>
          <w:szCs w:val="44"/>
          <w:shd w:val="clear" w:fill="FFFFFF"/>
        </w:rPr>
      </w:pP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rPr>
        <w:t>广东共青团</w:t>
      </w:r>
      <w:r>
        <w:rPr>
          <w:rFonts w:hint="eastAsia" w:ascii="方正小标宋简体" w:hAnsi="方正小标宋简体" w:eastAsia="方正小标宋简体" w:cs="方正小标宋简体"/>
          <w:b w:val="0"/>
          <w:i w:val="0"/>
          <w:caps w:val="0"/>
          <w:color w:val="auto"/>
          <w:spacing w:val="0"/>
          <w:sz w:val="44"/>
          <w:szCs w:val="44"/>
          <w:shd w:val="clear" w:fill="FFFFFF"/>
          <w:lang w:eastAsia="zh-CN"/>
        </w:rPr>
        <w:t>投身乡村振兴工作领导小组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召开202</w:t>
      </w: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2</w:t>
      </w:r>
      <w:r>
        <w:rPr>
          <w:rFonts w:hint="eastAsia" w:ascii="方正小标宋简体" w:hAnsi="方正小标宋简体" w:eastAsia="方正小标宋简体" w:cs="方正小标宋简体"/>
          <w:b w:val="0"/>
          <w:i w:val="0"/>
          <w:caps w:val="0"/>
          <w:color w:val="auto"/>
          <w:spacing w:val="0"/>
          <w:sz w:val="44"/>
          <w:szCs w:val="44"/>
          <w:shd w:val="clear" w:fill="FFFFFF"/>
        </w:rPr>
        <w:t>年第1次会议</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color w:val="auto"/>
        </w:rPr>
      </w:pPr>
      <w:r>
        <w:rPr>
          <w:rFonts w:hint="eastAsia" w:ascii="方正仿宋_GBK" w:hAnsi="方正仿宋_GBK" w:eastAsia="方正仿宋_GBK" w:cs="方正仿宋_GBK"/>
          <w:i w:val="0"/>
          <w:caps w:val="0"/>
          <w:color w:val="auto"/>
          <w:spacing w:val="0"/>
          <w:sz w:val="32"/>
          <w:szCs w:val="32"/>
          <w:shd w:val="clear" w:fill="FFFFFF"/>
          <w:lang w:val="en-US" w:eastAsia="zh-CN"/>
        </w:rPr>
        <w:t>1</w:t>
      </w:r>
      <w:r>
        <w:rPr>
          <w:rFonts w:hint="eastAsia" w:ascii="方正仿宋_GBK" w:hAnsi="方正仿宋_GBK" w:eastAsia="方正仿宋_GBK" w:cs="方正仿宋_GBK"/>
          <w:i w:val="0"/>
          <w:caps w:val="0"/>
          <w:color w:val="auto"/>
          <w:spacing w:val="0"/>
          <w:sz w:val="32"/>
          <w:szCs w:val="32"/>
          <w:shd w:val="clear" w:fill="FFFFFF"/>
        </w:rPr>
        <w:t>月</w:t>
      </w:r>
      <w:r>
        <w:rPr>
          <w:rFonts w:hint="eastAsia" w:ascii="方正仿宋_GBK" w:hAnsi="方正仿宋_GBK" w:eastAsia="方正仿宋_GBK" w:cs="方正仿宋_GBK"/>
          <w:i w:val="0"/>
          <w:caps w:val="0"/>
          <w:color w:val="auto"/>
          <w:spacing w:val="0"/>
          <w:sz w:val="32"/>
          <w:szCs w:val="32"/>
          <w:shd w:val="clear" w:fill="FFFFFF"/>
          <w:lang w:val="en-US" w:eastAsia="zh-CN"/>
        </w:rPr>
        <w:t>27</w:t>
      </w:r>
      <w:r>
        <w:rPr>
          <w:rFonts w:hint="eastAsia" w:ascii="方正仿宋_GBK" w:hAnsi="方正仿宋_GBK" w:eastAsia="方正仿宋_GBK" w:cs="方正仿宋_GBK"/>
          <w:i w:val="0"/>
          <w:caps w:val="0"/>
          <w:color w:val="auto"/>
          <w:spacing w:val="0"/>
          <w:sz w:val="32"/>
          <w:szCs w:val="32"/>
          <w:shd w:val="clear" w:fill="FFFFFF"/>
        </w:rPr>
        <w:t>日，广东共青团</w:t>
      </w:r>
      <w:r>
        <w:rPr>
          <w:rFonts w:hint="eastAsia" w:ascii="方正仿宋_GBK" w:hAnsi="方正仿宋_GBK" w:eastAsia="方正仿宋_GBK" w:cs="方正仿宋_GBK"/>
          <w:i w:val="0"/>
          <w:caps w:val="0"/>
          <w:color w:val="auto"/>
          <w:spacing w:val="0"/>
          <w:sz w:val="32"/>
          <w:szCs w:val="32"/>
          <w:shd w:val="clear" w:fill="FFFFFF"/>
          <w:lang w:eastAsia="zh-CN"/>
        </w:rPr>
        <w:t>投身乡村振兴工作</w:t>
      </w:r>
      <w:r>
        <w:rPr>
          <w:rFonts w:hint="eastAsia" w:ascii="方正仿宋_GBK" w:hAnsi="方正仿宋_GBK" w:eastAsia="方正仿宋_GBK" w:cs="方正仿宋_GBK"/>
          <w:i w:val="0"/>
          <w:caps w:val="0"/>
          <w:color w:val="auto"/>
          <w:spacing w:val="0"/>
          <w:sz w:val="32"/>
          <w:szCs w:val="32"/>
          <w:shd w:val="clear" w:fill="FFFFFF"/>
        </w:rPr>
        <w:t>领导小组召开2022年第1次会议。团省委书记、广东共青团</w:t>
      </w:r>
      <w:r>
        <w:rPr>
          <w:rFonts w:hint="eastAsia" w:ascii="方正仿宋_GBK" w:hAnsi="方正仿宋_GBK" w:eastAsia="方正仿宋_GBK" w:cs="方正仿宋_GBK"/>
          <w:i w:val="0"/>
          <w:caps w:val="0"/>
          <w:color w:val="auto"/>
          <w:spacing w:val="0"/>
          <w:sz w:val="32"/>
          <w:szCs w:val="32"/>
          <w:shd w:val="clear" w:fill="FFFFFF"/>
          <w:lang w:eastAsia="zh-CN"/>
        </w:rPr>
        <w:t>投身乡村振兴工作</w:t>
      </w:r>
      <w:r>
        <w:rPr>
          <w:rFonts w:hint="eastAsia" w:ascii="方正仿宋_GBK" w:hAnsi="方正仿宋_GBK" w:eastAsia="方正仿宋_GBK" w:cs="方正仿宋_GBK"/>
          <w:i w:val="0"/>
          <w:caps w:val="0"/>
          <w:color w:val="auto"/>
          <w:spacing w:val="0"/>
          <w:sz w:val="32"/>
          <w:szCs w:val="32"/>
          <w:shd w:val="clear" w:fill="FFFFFF"/>
        </w:rPr>
        <w:t>领导小组组长池志雄主持会议并讲话，团省委副书记、领导小组副组长梁均达，机关各部室、各直属单位主要负责同志等领导小组成员参加会议。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rPr>
        <w:t>会议传达了习近平总书记对做好“三农”工作作出的重要指示和中央农村工作会议精神，研究并制定贯彻落实举措。</w:t>
      </w:r>
      <w:r>
        <w:rPr>
          <w:rFonts w:hint="eastAsia" w:ascii="方正仿宋_GBK" w:hAnsi="方正仿宋_GBK" w:eastAsia="方正仿宋_GBK" w:cs="方正仿宋_GBK"/>
          <w:i w:val="0"/>
          <w:caps w:val="0"/>
          <w:color w:val="auto"/>
          <w:spacing w:val="0"/>
          <w:sz w:val="32"/>
          <w:szCs w:val="32"/>
          <w:shd w:val="clear" w:fill="FFFFFF"/>
          <w:lang w:val="en-US" w:eastAsia="zh-CN"/>
        </w:rPr>
        <w:t>会议</w:t>
      </w:r>
      <w:r>
        <w:rPr>
          <w:rFonts w:hint="eastAsia" w:ascii="方正仿宋_GBK" w:hAnsi="方正仿宋_GBK" w:eastAsia="方正仿宋_GBK" w:cs="方正仿宋_GBK"/>
          <w:i w:val="0"/>
          <w:caps w:val="0"/>
          <w:color w:val="auto"/>
          <w:spacing w:val="0"/>
          <w:sz w:val="32"/>
          <w:szCs w:val="32"/>
          <w:shd w:val="clear" w:fill="FFFFFF"/>
        </w:rPr>
        <w:t>听取了广东共青团</w:t>
      </w:r>
      <w:r>
        <w:rPr>
          <w:rFonts w:hint="eastAsia" w:ascii="方正仿宋_GBK" w:hAnsi="方正仿宋_GBK" w:eastAsia="方正仿宋_GBK" w:cs="方正仿宋_GBK"/>
          <w:i w:val="0"/>
          <w:caps w:val="0"/>
          <w:color w:val="auto"/>
          <w:spacing w:val="0"/>
          <w:sz w:val="32"/>
          <w:szCs w:val="32"/>
          <w:shd w:val="clear" w:fill="FFFFFF"/>
          <w:lang w:eastAsia="zh-CN"/>
        </w:rPr>
        <w:t>投身乡村振兴</w:t>
      </w:r>
      <w:r>
        <w:rPr>
          <w:rFonts w:hint="eastAsia" w:ascii="方正仿宋_GBK" w:hAnsi="方正仿宋_GBK" w:eastAsia="方正仿宋_GBK" w:cs="方正仿宋_GBK"/>
          <w:i w:val="0"/>
          <w:caps w:val="0"/>
          <w:color w:val="auto"/>
          <w:spacing w:val="0"/>
          <w:sz w:val="32"/>
          <w:szCs w:val="32"/>
          <w:shd w:val="clear" w:fill="FFFFFF"/>
        </w:rPr>
        <w:t>工作</w:t>
      </w:r>
      <w:r>
        <w:rPr>
          <w:rFonts w:hint="eastAsia" w:ascii="方正仿宋_GBK" w:hAnsi="方正仿宋_GBK" w:eastAsia="方正仿宋_GBK" w:cs="方正仿宋_GBK"/>
          <w:i w:val="0"/>
          <w:caps w:val="0"/>
          <w:color w:val="auto"/>
          <w:spacing w:val="0"/>
          <w:sz w:val="32"/>
          <w:szCs w:val="32"/>
          <w:shd w:val="clear" w:fill="FFFFFF"/>
          <w:lang w:eastAsia="zh-CN"/>
        </w:rPr>
        <w:t>情况</w:t>
      </w:r>
      <w:r>
        <w:rPr>
          <w:rFonts w:hint="eastAsia" w:ascii="方正仿宋_GBK" w:hAnsi="方正仿宋_GBK" w:eastAsia="方正仿宋_GBK" w:cs="方正仿宋_GBK"/>
          <w:i w:val="0"/>
          <w:caps w:val="0"/>
          <w:color w:val="auto"/>
          <w:spacing w:val="0"/>
          <w:sz w:val="32"/>
          <w:szCs w:val="32"/>
          <w:shd w:val="clear" w:fill="FFFFFF"/>
        </w:rPr>
        <w:t>汇报，审议并通过了广东共青团关于深化实施乡村振兴青春建功行动的工作方案，研究了下一</w:t>
      </w:r>
      <w:r>
        <w:rPr>
          <w:rFonts w:hint="eastAsia" w:ascii="方正仿宋_GBK" w:hAnsi="方正仿宋_GBK" w:eastAsia="方正仿宋_GBK" w:cs="方正仿宋_GBK"/>
          <w:i w:val="0"/>
          <w:caps w:val="0"/>
          <w:color w:val="auto"/>
          <w:spacing w:val="0"/>
          <w:sz w:val="32"/>
          <w:szCs w:val="32"/>
          <w:shd w:val="clear" w:fill="FFFFFF"/>
          <w:lang w:val="en-US" w:eastAsia="zh-CN"/>
        </w:rPr>
        <w:t>阶段的重点</w:t>
      </w:r>
      <w:r>
        <w:rPr>
          <w:rFonts w:hint="eastAsia" w:ascii="方正仿宋_GBK" w:hAnsi="方正仿宋_GBK" w:eastAsia="方正仿宋_GBK" w:cs="方正仿宋_GBK"/>
          <w:i w:val="0"/>
          <w:caps w:val="0"/>
          <w:color w:val="auto"/>
          <w:spacing w:val="0"/>
          <w:sz w:val="32"/>
          <w:szCs w:val="32"/>
          <w:shd w:val="clear" w:fill="FFFFFF"/>
        </w:rPr>
        <w:t>工作</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color w:val="auto"/>
        </w:rPr>
      </w:pPr>
      <w:r>
        <w:rPr>
          <w:rFonts w:hint="eastAsia" w:ascii="方正仿宋_GBK" w:hAnsi="方正仿宋_GBK" w:eastAsia="方正仿宋_GBK" w:cs="方正仿宋_GBK"/>
          <w:color w:val="auto"/>
          <w:sz w:val="32"/>
          <w:szCs w:val="32"/>
          <w:highlight w:val="none"/>
          <w:lang w:val="en-US" w:eastAsia="zh-CN"/>
        </w:rPr>
        <w:t>会议要求，全省各级团组织要紧紧围绕乡村振兴工作大局，将乡村振兴作为共青团服务中心大局的重要领域，进一步加强工作统筹，不断提升共青团组织在乡村振兴领域的大局贡献度。</w:t>
      </w:r>
      <w:r>
        <w:rPr>
          <w:rFonts w:hint="eastAsia" w:ascii="方正仿宋_GBK" w:hAnsi="方正仿宋_GBK" w:eastAsia="方正仿宋_GBK" w:cs="方正仿宋_GBK"/>
          <w:b w:val="0"/>
          <w:bCs w:val="0"/>
          <w:color w:val="auto"/>
          <w:sz w:val="32"/>
          <w:szCs w:val="32"/>
          <w:highlight w:val="none"/>
          <w:lang w:val="en-US" w:eastAsia="zh-CN"/>
        </w:rPr>
        <w:t>一要</w:t>
      </w:r>
      <w:r>
        <w:rPr>
          <w:rFonts w:hint="eastAsia" w:ascii="方正仿宋_GBK" w:hAnsi="方正仿宋_GBK" w:eastAsia="方正仿宋_GBK" w:cs="方正仿宋_GBK"/>
          <w:color w:val="auto"/>
          <w:sz w:val="32"/>
          <w:szCs w:val="32"/>
          <w:highlight w:val="none"/>
          <w:lang w:val="en-US" w:eastAsia="zh-CN"/>
        </w:rPr>
        <w:t>深入学习领会习近平总书记对做好“三农”工作作出的重要指示和中央农村工作会议精神，不断增强投身乡村振兴工作的思想自觉和行动自觉，更积极推进共青团助力乡村振兴各项工作。</w:t>
      </w:r>
      <w:r>
        <w:rPr>
          <w:rFonts w:hint="eastAsia" w:ascii="方正仿宋_GBK" w:hAnsi="方正仿宋_GBK" w:eastAsia="方正仿宋_GBK" w:cs="方正仿宋_GBK"/>
          <w:b w:val="0"/>
          <w:bCs w:val="0"/>
          <w:color w:val="auto"/>
          <w:sz w:val="32"/>
          <w:szCs w:val="32"/>
          <w:highlight w:val="none"/>
          <w:lang w:val="en-US" w:eastAsia="zh-CN"/>
        </w:rPr>
        <w:t>二要</w:t>
      </w:r>
      <w:r>
        <w:rPr>
          <w:rFonts w:hint="eastAsia" w:ascii="方正仿宋_GBK" w:hAnsi="方正仿宋_GBK" w:eastAsia="方正仿宋_GBK" w:cs="方正仿宋_GBK"/>
          <w:color w:val="auto"/>
          <w:sz w:val="32"/>
          <w:szCs w:val="32"/>
          <w:highlight w:val="none"/>
          <w:lang w:val="en-US" w:eastAsia="zh-CN"/>
        </w:rPr>
        <w:t>主动担当作为，组织动员广大青年踊跃投身全面推进乡村振兴，不断提高共青团对全面推进乡村振兴的参与度，在乡村振兴战略实施中展现共青团和青年的担当作为。</w:t>
      </w:r>
      <w:r>
        <w:rPr>
          <w:rFonts w:hint="eastAsia" w:ascii="方正仿宋_GBK" w:hAnsi="方正仿宋_GBK" w:eastAsia="方正仿宋_GBK" w:cs="方正仿宋_GBK"/>
          <w:b w:val="0"/>
          <w:bCs w:val="0"/>
          <w:color w:val="auto"/>
          <w:sz w:val="32"/>
          <w:szCs w:val="32"/>
          <w:highlight w:val="none"/>
          <w:lang w:val="en-US" w:eastAsia="zh-CN"/>
        </w:rPr>
        <w:t>三要</w:t>
      </w:r>
      <w:r>
        <w:rPr>
          <w:rFonts w:hint="eastAsia" w:ascii="方正仿宋_GBK" w:hAnsi="方正仿宋_GBK" w:eastAsia="方正仿宋_GBK" w:cs="方正仿宋_GBK"/>
          <w:color w:val="auto"/>
          <w:sz w:val="32"/>
          <w:szCs w:val="32"/>
          <w:highlight w:val="none"/>
          <w:lang w:val="en-US" w:eastAsia="zh-CN"/>
        </w:rPr>
        <w:t>在助力乡村振兴工作大局中加强锤炼团的组织，不断夯实农村团的基层基础，丰富农村共青团工作的项目和品牌，不断提升农村共青团的工作覆盖面和工作成效。</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C11A2"/>
    <w:rsid w:val="135B06E2"/>
    <w:rsid w:val="17B947BE"/>
    <w:rsid w:val="3EFE839C"/>
    <w:rsid w:val="575229C0"/>
    <w:rsid w:val="61AA32B0"/>
    <w:rsid w:val="630C613B"/>
    <w:rsid w:val="66637343"/>
    <w:rsid w:val="682A4703"/>
    <w:rsid w:val="6EB1477A"/>
    <w:rsid w:val="7A6C2AB1"/>
    <w:rsid w:val="BDFCA694"/>
    <w:rsid w:val="EFE7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420"/>
    </w:pPr>
    <w:rPr>
      <w:sz w:val="24"/>
    </w:rPr>
  </w:style>
  <w:style w:type="paragraph" w:styleId="3">
    <w:name w:val="toc 4"/>
    <w:basedOn w:val="1"/>
    <w:next w:val="1"/>
    <w:qFormat/>
    <w:uiPriority w:val="0"/>
    <w:pPr>
      <w:ind w:left="850"/>
    </w:pPr>
    <w:rPr>
      <w:rFonts w:ascii="Calibri" w:hAnsi="Calibri" w:cs="黑体"/>
      <w:sz w:val="2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tsw</cp:lastModifiedBy>
  <cp:lastPrinted>2022-02-19T08:49:00Z</cp:lastPrinted>
  <dcterms:modified xsi:type="dcterms:W3CDTF">2022-03-24T10:54:07Z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