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 w:cs="华文中宋"/>
          <w:bCs/>
          <w:color w:val="FF0000"/>
          <w:sz w:val="52"/>
          <w:szCs w:val="52"/>
          <w:lang w:val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color w:val="FF0000"/>
          <w:sz w:val="82"/>
          <w:szCs w:val="82"/>
          <w:lang w:val="zh-CN"/>
        </w:rPr>
        <w:t>广东青年发展工作简报</w:t>
      </w:r>
    </w:p>
    <w:p>
      <w:pPr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ascii="黑体" w:hAnsi="黑体" w:eastAsia="黑体" w:cs="黑体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第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 xml:space="preserve"> 期</w:t>
      </w:r>
    </w:p>
    <w:p>
      <w:pPr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>
      <w:pPr>
        <w:rPr>
          <w:rFonts w:ascii="方正仿宋_GBK" w:hAnsi="方正仿宋_GBK" w:eastAsia="方正仿宋_GBK" w:cs="方正仿宋_GBK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共青团广东省委青年发展部编        20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3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29 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日</w:t>
      </w:r>
    </w:p>
    <w:p>
      <w:pPr>
        <w:ind w:firstLine="642" w:firstLineChars="200"/>
        <w:rPr>
          <w:rFonts w:ascii="楷体" w:hAnsi="楷体" w:eastAsia="楷体" w:cs="楷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b/>
          <w:bCs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75565</wp:posOffset>
                </wp:positionV>
                <wp:extent cx="5399405" cy="24765"/>
                <wp:effectExtent l="0" t="7620" r="10795" b="247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5399405" cy="24765"/>
                        </a:xfrm>
                        <a:prstGeom prst="line">
                          <a:avLst/>
                        </a:prstGeom>
                        <a:noFill/>
                        <a:ln w="15875" cmpd="sng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1pt;margin-top:5.95pt;height:1.95pt;width:425.15pt;z-index:251660288;mso-width-relative:page;mso-height-relative:page;" filled="f" stroked="t" coordsize="21600,21600" o:gfxdata="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bKtGd1wAAAAkBAAAPAAAAAAAAAAEAIAAAADgAAABkcnMvZG93bnJldi54&#10;bWxQSwECFAAUAAAACACHTuJAOtzGf+UBAACKAwAADgAAAAAAAAABACAAAAA8AQAAZHJzL2Uyb0Rv&#10;Yy54bWxQSwUGAAAAAAYABgBZAQAAkw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20" w:lineRule="exact"/>
        <w:ind w:firstLine="642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编者按：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团省委联合省农村农业厅、省扶贫办、省教育厅、省卫健委、省人社厅、省残联等相关职能单位开展新时代广东乡村青少年健康成长“两帮两促”行动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，全省各级团组织针对农村青少年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学业帮助、就业帮助、体质健康促进、心理健康促进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等方面采取了一系列工作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措施，取得了阶段性成效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各地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实际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深化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“两帮两促”工作，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现将湛江坡头、韶关做法编发，供各地各单位参考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40" w:right="0" w:rightChars="0" w:hanging="440" w:hangingChars="10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40" w:right="0" w:rightChars="0" w:hanging="440" w:hangingChars="10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团湛江坡头区委形成“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两帮两促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”坡头模式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440" w:right="0" w:rightChars="0" w:hanging="440" w:hangingChars="100"/>
        <w:jc w:val="center"/>
        <w:textAlignment w:val="baseline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团湛江坡头区委充分利用团省委挂牌督战脱贫攻坚有利契机，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持续深入开展“两帮两促”行动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各项工作取得了阶段性成效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，逐步形成了“两帮两促”坡头模式。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在学业帮扶方面，共青团坡头区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委强化动态管理帮扶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，采用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“订单式”工作法，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通过“云支教”提交需求，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实现学生需求相应科目支教大学生志愿者精准匹配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；此外还强化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支撑服务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及时为没有设备的困难学生配备上课所用的设备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积极联系移动公司提供云支教公益流量套餐，基本解决受助学生上课的软硬件设备及网络通讯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；创新青年云支教新形式，坡头区委联合岭南师范学院，组织乡村青年走进高校，在“行走的课堂”中接受党史学习教育。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在就业帮扶方面，共青团坡头区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委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开设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坡头区“两帮两促”就业行动之公考公益培训班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为有志于参加公考的优秀青年提供必要的培训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；坡头区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委深入开展展翅计划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加大学生创业和就业培训力度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充分联系区直各机关，为学生提供实习岗位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深化贫困户就业供需对接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建立“一人一案”跟踪帮扶长效机制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精准开展贫困户就业技能培训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在身体健康帮扶方面，共青团坡头区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委开展健康直通车系列活动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贫困青少年人民医院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提供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免费体检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送医上门服务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组建青年医疗服务队为贫困青少年提供入户义诊服务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开展助残爱心救助服务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积极救助帮扶贫困家庭青少年病患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为其办理残疾证和申请了残疾人护理补贴和生活津贴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强化健康帮扶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向困难青少年深化实施我运动我健康、夏令营等公益项目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在心理健康帮扶方面，共青团坡头区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委注重关爱贫困学生心理辅导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，组织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流动少年宫开进省定贫困村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对接省重点项目“一校一社工”“乡村教师志愿者”，注重贫困学生心理疏导工作，通过“云支教”进行心理疏导和干预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依托“12355”咨询平台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为我区青少年提供法律援助、心理疏导、权益维护等专项服务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开展公益冬夏令营班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丰富困难学生的第二课堂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；开展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爱心助考志愿服务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注重中高考考前减压、爱心助考志愿服务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缓解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学生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在考前和考中的心理压力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团韶关市委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多措并举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助力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“青年云支教”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提质增效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团韶关市委多举措落实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青少年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帮扶责任，实施“青年云支教”志愿者素质提升工程，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全方位提升青少年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综合素养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融合专业特长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结合学生兴趣爱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好，充分利用支教志愿者专业特长大力开展手工制作、美术绘画、音乐舞蹈、体育训练等“第二课堂”线上教学工作，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利用周末、节假日组织支教志愿者深入受助学生家庭开展线下实践交流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；结合支教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志愿者成长经历，在支教过程中融入贯穿安全自护教育。结合“手拉手”关爱行动，帮助受助学生与支教志愿者建立结对帮扶关系，推动帮扶双方建立同理心和共情力，延伸阵地建设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邀请相关专业学生为“青年云支教”策划宣传方案和创作公益广告作品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通过作品展示引起更多群体对“青年云支教”及乡村青少年健康成长的关注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二是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开展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一系列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线上教学技能大赛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通过举办线上教学技能大赛活动，给支教志愿者提供一个总结交流的平台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促进支教志愿者相互之间吸纳接收优势长处，提高自身的教学能力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开展调研实践大赛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组织支教志愿者队伍深入探究云支教教学过程中的教学困境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提出改进对策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以调研促提升，以交流促发展，为更好地开展支教活动提供参考。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三是以每两周为周期收集各志愿者活动开展情况，并对志愿者开展较好的事迹和做法进行宣传报道，选树典型，强化身边典型引领，发挥榜样引领和辐射作用，构建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起学先进、争先进、赶先进的良好氛围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征集代言标语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进一步深化支教志愿者对志愿服务活动的认同感和获得感，激发支教活动内生动力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组织支教志愿者开展我为青年云支教代言活动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组织开展我与青年云支教的故事征文活动，倾听支教心声，讲好身边故事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以真实事迹感染号召更多人群参与关注乡村青少年健康成长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四是以回访为抓手，了解掌握支教成效，建立反馈机制。建立受助学生信息库，明确回访形式，不定期以随机电话回访的形式充分了解受助学生上课时长和教学成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效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掌握学生教学成效第一手信息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针对回访结果，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做好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学习兴致不高的学生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思想工作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积极对接暂时失联学生。</w:t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Nimbus Roman No9 L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公文小标宋简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553"/>
        <w:tab w:val="clear" w:pos="4153"/>
      </w:tabs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F0802"/>
    <w:rsid w:val="00521361"/>
    <w:rsid w:val="009D4F32"/>
    <w:rsid w:val="00F73E7B"/>
    <w:rsid w:val="09324B28"/>
    <w:rsid w:val="0CA13EB6"/>
    <w:rsid w:val="131D5653"/>
    <w:rsid w:val="1B1F0802"/>
    <w:rsid w:val="1F2C1E32"/>
    <w:rsid w:val="2A641863"/>
    <w:rsid w:val="3416720D"/>
    <w:rsid w:val="3BAC295F"/>
    <w:rsid w:val="3FE73AC1"/>
    <w:rsid w:val="40EB02A7"/>
    <w:rsid w:val="56F95BAE"/>
    <w:rsid w:val="59795E5B"/>
    <w:rsid w:val="5D6267C8"/>
    <w:rsid w:val="60D025CC"/>
    <w:rsid w:val="6543171A"/>
    <w:rsid w:val="6D535020"/>
    <w:rsid w:val="74967D1F"/>
    <w:rsid w:val="7A2779B5"/>
    <w:rsid w:val="7BAC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1"/>
    <w:pPr>
      <w:ind w:left="172"/>
    </w:pPr>
    <w:rPr>
      <w:rFonts w:ascii="宋体" w:hAnsi="宋体" w:eastAsia="宋体"/>
      <w:sz w:val="33"/>
      <w:szCs w:val="33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Calibri" w:hAnsi="Calibri" w:eastAsia="宋体" w:cs="Times New Roman"/>
      <w:sz w:val="24"/>
    </w:rPr>
  </w:style>
  <w:style w:type="paragraph" w:customStyle="1" w:styleId="9">
    <w:name w:val="正文1"/>
    <w:qFormat/>
    <w:uiPriority w:val="0"/>
    <w:rPr>
      <w:rFonts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paragraph" w:customStyle="1" w:styleId="10">
    <w:name w:val="主题词"/>
    <w:basedOn w:val="1"/>
    <w:qFormat/>
    <w:uiPriority w:val="0"/>
    <w:pPr>
      <w:ind w:left="1400" w:hanging="1400"/>
    </w:pPr>
    <w:rPr>
      <w:rFonts w:eastAsia="公文小标宋简"/>
      <w:sz w:val="32"/>
      <w:szCs w:val="20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373</Words>
  <Characters>2130</Characters>
  <Lines>17</Lines>
  <Paragraphs>4</Paragraphs>
  <TotalTime>47</TotalTime>
  <ScaleCrop>false</ScaleCrop>
  <LinksUpToDate>false</LinksUpToDate>
  <CharactersWithSpaces>2499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2020-09-24T10:58:00Z</dcterms:created>
  <dc:creator>Ted</dc:creator>
  <cp:lastModifiedBy>kylin</cp:lastModifiedBy>
  <dcterms:modified xsi:type="dcterms:W3CDTF">2021-05-14T11:22:42Z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256475674_cloud</vt:lpwstr>
  </property>
  <property fmtid="{D5CDD505-2E9C-101B-9397-08002B2CF9AE}" pid="4" name="ICV">
    <vt:lpwstr>8B3B7AE205D54867840169F0379D8656</vt:lpwstr>
  </property>
</Properties>
</file>