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二十三</w:t>
      </w:r>
      <w:r>
        <w:rPr>
          <w:rFonts w:hint="eastAsia" w:ascii="方正小标宋简体" w:hAnsi="方正小标宋简体" w:eastAsia="方正小标宋简体" w:cs="方正小标宋简体"/>
          <w:b w:val="0"/>
          <w:bCs/>
          <w:sz w:val="44"/>
          <w:szCs w:val="44"/>
        </w:rPr>
        <w:t>届“广东青年五四奖章”</w:t>
      </w:r>
    </w:p>
    <w:p>
      <w:pPr>
        <w:keepNext w:val="0"/>
        <w:keepLines w:val="0"/>
        <w:pageBreakBefore w:val="0"/>
        <w:widowControl w:val="0"/>
        <w:kinsoku/>
        <w:wordWrap/>
        <w:overflowPunct/>
        <w:topLinePunct w:val="0"/>
        <w:autoSpaceDE/>
        <w:autoSpaceDN/>
        <w:bidi w:val="0"/>
        <w:adjustRightInd/>
        <w:snapToGrid w:val="0"/>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候选集体</w:t>
      </w:r>
      <w:r>
        <w:rPr>
          <w:rFonts w:hint="eastAsia" w:ascii="方正小标宋简体" w:hAnsi="方正小标宋简体" w:eastAsia="方正小标宋简体" w:cs="方正小标宋简体"/>
          <w:b w:val="0"/>
          <w:bCs/>
          <w:sz w:val="44"/>
          <w:szCs w:val="44"/>
        </w:rPr>
        <w:t>名单</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outlineLvl w:val="9"/>
        <w:rPr>
          <w:rFonts w:hint="eastAsia" w:ascii="方正楷体_GBK" w:hAnsi="方正楷体_GBK" w:eastAsia="方正楷体_GBK" w:cs="方正楷体_GBK"/>
          <w:sz w:val="32"/>
          <w:szCs w:val="22"/>
          <w:lang w:val="en-US" w:eastAsia="zh-CN"/>
        </w:rPr>
      </w:pPr>
      <w:r>
        <w:rPr>
          <w:rFonts w:hint="eastAsia" w:ascii="方正楷体_GBK" w:hAnsi="方正楷体_GBK" w:eastAsia="方正楷体_GBK" w:cs="方正楷体_GBK"/>
          <w:sz w:val="32"/>
          <w:szCs w:val="22"/>
          <w:lang w:val="en-US" w:eastAsia="zh-CN"/>
        </w:rPr>
        <w:t>（共15个）</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方正仿宋_GBK" w:hAnsi="方正仿宋_GBK" w:eastAsia="方正仿宋_GBK" w:cs="方正仿宋_GBK"/>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广东省氢能技术重点实验室</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广州医科大学附属第一医院重症医学科</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广东工业大学环境健康与污染控制团队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638" w:leftChars="304" w:right="0" w:rightChars="0" w:firstLine="0" w:firstLineChars="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中国电子科技集团公司第七研究所战术通信网络与控制团队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中交广航局深中通道项目部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中山大学附属第一医院精准医学研究院青年团队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958" w:leftChars="304" w:right="0" w:rightChars="0" w:hanging="320" w:hangingChars="1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中国广核集团有限公司中广核工程有限公司设计院核</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958" w:leftChars="304" w:right="0" w:rightChars="0" w:hanging="320" w:hangingChars="1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岛设备所核电装备及其材料服役安全创新团队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中国科学院深圳先进技术研究院合成生物学团队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华南理工大学李莎支教团</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华南农业大学国家植物航天育种工程技术研究中心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金域医学援港核酸检测小分队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哈尔滨工业大学（深圳）智能机器人“凤凰”团队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638" w:leftChars="304" w:right="0" w:rightChars="0" w:firstLine="0" w:firstLineChars="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南方电网科学研究院有限责任公司直流输电技术国家重点实验室团队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638" w:leftChars="304" w:right="0" w:rightChars="0" w:firstLine="0" w:firstLineChars="0"/>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南方医科大学南方医院消化内科</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惠州市惠阳区淡水消防救援站</w:t>
      </w:r>
    </w:p>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B29D4"/>
    <w:rsid w:val="06AB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2021-04-16T11:20:00Z</dcterms:created>
  <dc:creator>user</dc:creator>
  <cp:lastModifiedBy>user</cp:lastModifiedBy>
  <dcterms:modified xsi:type="dcterms:W3CDTF">2021-04-16T11:20:54Z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