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sz w:val="24"/>
              </w:rPr>
              <w:t>青年之家用户体验满意度调查及系统升级改造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熊小姐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020-87185620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青年之家用户体验满意度调查及系统升级改造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列明是否有方案实施及优化经验，须提供证明材料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0717293A"/>
    <w:rsid w:val="2AC14791"/>
    <w:rsid w:val="4DCB7FE3"/>
    <w:rsid w:val="6DA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文利</cp:lastModifiedBy>
  <dcterms:modified xsi:type="dcterms:W3CDTF">2021-02-26T11:19:31Z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