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华文中宋" w:hAnsi="华文中宋" w:eastAsia="华文中宋" w:cs="华文中宋"/>
          <w:b w:val="0"/>
          <w:bCs/>
          <w:color w:val="FF0000"/>
          <w:sz w:val="52"/>
          <w:szCs w:val="52"/>
          <w:lang w:val="zh-CN"/>
        </w:rPr>
      </w:pPr>
      <w:r>
        <w:rPr>
          <w:rFonts w:hint="eastAsia" w:ascii="华文中宋" w:hAnsi="华文中宋" w:eastAsia="华文中宋" w:cs="华文中宋"/>
          <w:b/>
          <w:bCs w:val="0"/>
          <w:color w:val="FF0000"/>
          <w:sz w:val="82"/>
          <w:szCs w:val="82"/>
          <w:lang w:val="zh-CN"/>
        </w:rPr>
        <w:t>广东青年发展工作简报</w:t>
      </w:r>
    </w:p>
    <w:p>
      <w:pPr>
        <w:rPr>
          <w:rFonts w:hint="eastAsia" w:ascii="方正仿宋_GBK" w:hAnsi="方正仿宋_GBK" w:eastAsia="方正仿宋_GBK" w:cs="方正仿宋_GBK"/>
          <w:b w:val="0"/>
          <w:bCs/>
          <w:color w:val="000000" w:themeColor="text1"/>
          <w:sz w:val="32"/>
          <w:szCs w:val="32"/>
          <w:lang w:val="zh-CN"/>
          <w14:textFill>
            <w14:solidFill>
              <w14:schemeClr w14:val="tx1"/>
            </w14:solidFill>
          </w14:textFill>
        </w:rPr>
      </w:pPr>
    </w:p>
    <w:p>
      <w:pPr>
        <w:autoSpaceDE w:val="0"/>
        <w:autoSpaceDN w:val="0"/>
        <w:adjustRightInd w:val="0"/>
        <w:snapToGrid w:val="0"/>
        <w:jc w:val="center"/>
        <w:rPr>
          <w:rFonts w:hint="eastAsia" w:ascii="黑体" w:hAnsi="黑体" w:eastAsia="黑体" w:cs="黑体"/>
          <w:sz w:val="32"/>
          <w:szCs w:val="32"/>
          <w:lang w:val="zh-CN"/>
        </w:rPr>
      </w:pPr>
      <w:r>
        <w:rPr>
          <w:rFonts w:hint="eastAsia" w:ascii="黑体" w:hAnsi="黑体" w:eastAsia="黑体" w:cs="黑体"/>
          <w:sz w:val="32"/>
          <w:szCs w:val="32"/>
          <w:lang w:val="zh-CN"/>
        </w:rPr>
        <w:t>第</w:t>
      </w:r>
      <w:r>
        <w:rPr>
          <w:rFonts w:hint="eastAsia" w:ascii="黑体" w:hAnsi="黑体" w:eastAsia="黑体" w:cs="黑体"/>
          <w:sz w:val="32"/>
          <w:szCs w:val="32"/>
          <w:lang w:val="en-US" w:eastAsia="zh-CN"/>
        </w:rPr>
        <w:t xml:space="preserve"> 5 期</w:t>
      </w:r>
    </w:p>
    <w:p>
      <w:pPr>
        <w:rPr>
          <w:rFonts w:hint="eastAsia" w:ascii="方正仿宋_GBK" w:hAnsi="方正仿宋_GBK" w:eastAsia="方正仿宋_GBK" w:cs="方正仿宋_GBK"/>
          <w:b w:val="0"/>
          <w:bCs/>
          <w:color w:val="000000" w:themeColor="text1"/>
          <w:sz w:val="32"/>
          <w:szCs w:val="32"/>
          <w:lang w:val="zh-CN"/>
          <w14:textFill>
            <w14:solidFill>
              <w14:schemeClr w14:val="tx1"/>
            </w14:solidFill>
          </w14:textFill>
        </w:rPr>
      </w:pPr>
    </w:p>
    <w:p>
      <w:pPr>
        <w:rPr>
          <w:rFonts w:hint="eastAsia" w:ascii="方正仿宋_GBK" w:hAnsi="方正仿宋_GBK" w:eastAsia="方正仿宋_GBK" w:cs="方正仿宋_GBK"/>
          <w:b w:val="0"/>
          <w:bCs/>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lang w:val="zh-CN"/>
          <w14:textFill>
            <w14:solidFill>
              <w14:schemeClr w14:val="tx1"/>
            </w14:solidFill>
          </w14:textFill>
        </w:rPr>
        <w:t xml:space="preserve">共青团广东省委青年发展部编       </w:t>
      </w: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 w:val="0"/>
          <w:bCs/>
          <w:color w:val="000000" w:themeColor="text1"/>
          <w:sz w:val="32"/>
          <w:szCs w:val="32"/>
          <w:lang w:val="zh-CN"/>
          <w14:textFill>
            <w14:solidFill>
              <w14:schemeClr w14:val="tx1"/>
            </w14:solidFill>
          </w14:textFill>
        </w:rPr>
        <w:t xml:space="preserve"> 201</w:t>
      </w: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9</w:t>
      </w:r>
      <w:r>
        <w:rPr>
          <w:rFonts w:hint="eastAsia" w:ascii="方正仿宋_GBK" w:hAnsi="方正仿宋_GBK" w:eastAsia="方正仿宋_GBK" w:cs="方正仿宋_GBK"/>
          <w:b w:val="0"/>
          <w:bCs/>
          <w:color w:val="000000" w:themeColor="text1"/>
          <w:sz w:val="32"/>
          <w:szCs w:val="32"/>
          <w:lang w:val="zh-CN"/>
          <w14:textFill>
            <w14:solidFill>
              <w14:schemeClr w14:val="tx1"/>
            </w14:solidFill>
          </w14:textFill>
        </w:rPr>
        <w:t>年</w:t>
      </w: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b w:val="0"/>
          <w:bCs/>
          <w:color w:val="000000" w:themeColor="text1"/>
          <w:sz w:val="32"/>
          <w:szCs w:val="32"/>
          <w:lang w:val="zh-CN"/>
          <w14:textFill>
            <w14:solidFill>
              <w14:schemeClr w14:val="tx1"/>
            </w14:solidFill>
          </w14:textFill>
        </w:rPr>
        <w:t>月</w:t>
      </w: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27</w:t>
      </w:r>
      <w:r>
        <w:rPr>
          <w:rFonts w:hint="eastAsia" w:ascii="方正仿宋_GBK" w:hAnsi="方正仿宋_GBK" w:eastAsia="方正仿宋_GBK" w:cs="方正仿宋_GBK"/>
          <w:b w:val="0"/>
          <w:bCs/>
          <w:color w:val="000000" w:themeColor="text1"/>
          <w:sz w:val="32"/>
          <w:szCs w:val="32"/>
          <w:lang w:val="zh-CN"/>
          <w14:textFill>
            <w14:solidFill>
              <w14:schemeClr w14:val="tx1"/>
            </w14:solidFill>
          </w14:textFill>
        </w:rPr>
        <w:t>日</w:t>
      </w:r>
    </w:p>
    <w:p>
      <w:pPr>
        <w:ind w:firstLine="643" w:firstLineChars="200"/>
        <w:rPr>
          <w:rFonts w:hint="eastAsia" w:ascii="楷体" w:hAnsi="楷体" w:eastAsia="楷体" w:cs="楷体"/>
          <w:b w:val="0"/>
          <w:bCs w:val="0"/>
          <w:color w:val="000000" w:themeColor="text1"/>
          <w:sz w:val="32"/>
          <w:szCs w:val="32"/>
          <w:lang w:val="zh-CN"/>
          <w14:textFill>
            <w14:solidFill>
              <w14:schemeClr w14:val="tx1"/>
            </w14:solidFill>
          </w14:textFill>
        </w:rPr>
      </w:pPr>
      <w:r>
        <w:rPr>
          <w:rFonts w:ascii="仿宋_GB2312" w:hAnsi="仿宋_GB2312" w:eastAsia="仿宋_GB2312"/>
          <w:b/>
          <w:bCs/>
          <w:sz w:val="32"/>
          <w:szCs w:val="44"/>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75565</wp:posOffset>
                </wp:positionV>
                <wp:extent cx="5399405" cy="24765"/>
                <wp:effectExtent l="0" t="7620" r="10795" b="2476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399405" cy="24765"/>
                        </a:xfrm>
                        <a:prstGeom prst="line">
                          <a:avLst/>
                        </a:prstGeom>
                        <a:noFill/>
                        <a:ln w="15875" cmpd="sng">
                          <a:solidFill>
                            <a:srgbClr val="FF0000"/>
                          </a:solidFill>
                          <a:round/>
                        </a:ln>
                        <a:effectLst/>
                      </wps:spPr>
                      <wps:bodyPr/>
                    </wps:wsp>
                  </a:graphicData>
                </a:graphic>
              </wp:anchor>
            </w:drawing>
          </mc:Choice>
          <mc:Fallback>
            <w:pict>
              <v:line id="_x0000_s1026" o:spid="_x0000_s1026" o:spt="20" style="position:absolute;left:0pt;flip:y;margin-left:-8.1pt;margin-top:5.95pt;height:1.95pt;width:425.15pt;z-index:251659264;mso-width-relative:page;mso-height-relative:page;" filled="f" stroked="t" coordsize="21600,21600" o:gfxdata="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sq0Z3XAAAACQEA&#10;AA8AAAAAAAAAAQAgAAAAIgAAAGRycy9kb3ducmV2LnhtbFBLAQIUABQAAAAIAIdO4kDjzWHv4gEA&#10;AIQDAAAOAAAAAAAAAAEAIAAAACYBAABkcnMvZTJvRG9jLnhtbFBLBQYAAAAABgAGAFkBAAB6BQAA&#10;AAA=&#10;">
                <v:fill on="f" focussize="0,0"/>
                <v:stroke weight="1.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楷体_GB2312" w:cs="仿宋_GB2312"/>
          <w:color w:val="auto"/>
          <w:sz w:val="32"/>
          <w:szCs w:val="32"/>
          <w:lang w:eastAsia="zh-CN"/>
        </w:rPr>
      </w:pPr>
      <w:r>
        <w:rPr>
          <w:rFonts w:hint="eastAsia" w:ascii="方正仿宋_GBK" w:hAnsi="方正仿宋_GBK" w:eastAsia="方正仿宋_GBK" w:cs="方正仿宋_GBK"/>
          <w:b/>
          <w:bCs/>
          <w:sz w:val="32"/>
          <w:szCs w:val="32"/>
          <w:lang w:eastAsia="zh-CN"/>
        </w:rPr>
        <w:t>编者按：</w:t>
      </w:r>
      <w:r>
        <w:rPr>
          <w:rFonts w:hint="eastAsia" w:ascii="楷体_GB2312" w:hAnsi="楷体_GB2312" w:eastAsia="楷体_GB2312" w:cs="楷体_GB2312"/>
          <w:b w:val="0"/>
          <w:bCs w:val="0"/>
          <w:color w:val="auto"/>
          <w:sz w:val="32"/>
          <w:szCs w:val="32"/>
        </w:rPr>
        <w:t>在纪念五四运动100周年之际，国家税务总局广东省税务局、共青团广东省委员会在广州共同举行“税务青年助企团”成立仪式暨减税降费宣讲活动，深入贯彻落实党中央、国务院关于实施减税降费的决策部署，引领广大税务青年继承发扬五四精神，以青春力量奏响新时代税收事业的最强音。</w:t>
      </w:r>
      <w:r>
        <w:rPr>
          <w:rFonts w:hint="eastAsia" w:ascii="楷体_GB2312" w:hAnsi="楷体_GB2312" w:eastAsia="楷体_GB2312" w:cs="楷体_GB2312"/>
          <w:b w:val="0"/>
          <w:bCs w:val="0"/>
          <w:color w:val="auto"/>
          <w:sz w:val="32"/>
          <w:szCs w:val="32"/>
          <w:lang w:eastAsia="zh-CN"/>
        </w:rPr>
        <w:t>现将相关工作内容汇编供各地参考。</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楷体" w:hAnsi="楷体" w:eastAsia="楷体" w:cs="楷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楷体" w:hAnsi="楷体" w:eastAsia="楷体" w:cs="楷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广东成立“税务青年助企团”助推减税降费政策落实</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党旗所指就是团旗所向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广东省税务局与共青团广东省委员会搭建起税务青年志愿者与青年创业</w:t>
      </w:r>
      <w:bookmarkStart w:id="0" w:name="_GoBack"/>
      <w:bookmarkEnd w:id="0"/>
      <w:r>
        <w:rPr>
          <w:rFonts w:hint="eastAsia" w:ascii="方正仿宋_GBK" w:hAnsi="方正仿宋_GBK" w:eastAsia="方正仿宋_GBK" w:cs="方正仿宋_GBK"/>
          <w:color w:val="auto"/>
          <w:sz w:val="32"/>
          <w:szCs w:val="32"/>
        </w:rPr>
        <w:t>者常态化沟通的桥梁，引导青年干部发挥自身聪明才智，“点对点”为企业尤其是青年创业者提供减税降费政策宣传辅导与咨询服务，助力社会经济发展。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青年有方向</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党建引领集结起生力军和突击队</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青年是整个社会力量中最积极、最有生气的力量，国家的希望在青年，民族的未来在青年。成立</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税务青年助企团</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的初衷和出发点是要做好服务，服务大局、服务企业、服务青年。广东税务系统的青年干部占全省税务干部的1/3，是税收事业的中坚力量。“税务青年助企团”的组建有助于整合青年力量，在落实减税降费政策、服务粤港澳大湾区建设、服务乡村振兴，服务中小微企业特别是非公企业发展，服务青年就业创业等方面，更好地发挥青年优势和青年作用。“税务青年助企团”从全省税务系统优秀青年中</w:t>
      </w:r>
      <w:r>
        <w:rPr>
          <w:rFonts w:hint="eastAsia" w:ascii="方正仿宋_GBK" w:hAnsi="方正仿宋_GBK" w:eastAsia="方正仿宋_GBK" w:cs="方正仿宋_GBK"/>
          <w:bCs/>
          <w:color w:val="auto"/>
          <w:sz w:val="32"/>
          <w:szCs w:val="32"/>
        </w:rPr>
        <w:t>精心筛选政治过硬、业务熟练、宣讲力强的首批300名青年组成</w:t>
      </w:r>
      <w:r>
        <w:rPr>
          <w:rFonts w:hint="eastAsia" w:ascii="方正仿宋_GBK" w:hAnsi="方正仿宋_GBK" w:eastAsia="方正仿宋_GBK" w:cs="方正仿宋_GBK"/>
          <w:color w:val="auto"/>
          <w:sz w:val="32"/>
          <w:szCs w:val="32"/>
        </w:rPr>
        <w:t>，其中既有全国税务系统领军人才，又有青年岗位能手；既涵盖增值税、所得税等各税费种骨干，又覆盖征管、纳服等全领域人才。</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税务青年助企团”成立仪式上，广东省税务局和共青团广东省委员会领导共同为“税务青年助企团”授旗，共青团广东省委员会副书记梁均达对“税务青年助企团”的建设满怀信心和期许：“希望‘税务青年助企团’增强使命担当，弘扬奉献、友爱、互助、进步的志愿精神，既要讲清国家的政策，及时把各项惠民利民的税收政策送到广大纳税人手中，帮助企业提升发展信心和决心；同时也要讲好国家的故事，要增强‘四个自信’，坚守共青团‘围绕中心、服务大局’的职责，以青春的智慧和力量为实现中国梦作出更大的贡献。”</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自正式成立以来，广东省“税务青年助企团”在各级团组织和税务部门的共同组织下，采取进园区、走社区、结对子等形式，已开展减税降费宣讲活动23场，服务小微企业、青年创业者3000余人次，充分发挥了青年党员、团员的先锋模范作用，确保政策落实迅速有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成长有路径</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大力开拓实践锻炼的广阔空间</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税务青年助企团”在响应号召、服务发展的同时，加快完善自身机制体制建设，为税务青年创造夯实业务基础、提升综合能力的有利条件，不断优化税务青年成长成才的路径。“税务青年助企团”骨干把减税降费工作作为“三会两制一课”的重要内容和必修课，带头钻研、轮流授课，以授课班、研讨班、练手赛等多种形式开展内部人员培训，全系统青年干部人均参训超过3次，实现人员培训全覆盖。同时利用学习考试网络平台，开展减税降费专项考试，青年党员干部合格率达100%。</w:t>
      </w:r>
      <w:r>
        <w:rPr>
          <w:rFonts w:hint="eastAsia" w:ascii="方正仿宋_GBK" w:hAnsi="方正仿宋_GBK" w:eastAsia="方正仿宋_GBK" w:cs="方正仿宋_GBK"/>
          <w:color w:val="auto"/>
          <w:sz w:val="32"/>
          <w:szCs w:val="32"/>
          <w:lang w:eastAsia="zh-CN"/>
        </w:rPr>
        <w:t>同时，</w:t>
      </w:r>
      <w:r>
        <w:rPr>
          <w:rFonts w:hint="eastAsia" w:ascii="方正仿宋_GBK" w:hAnsi="方正仿宋_GBK" w:eastAsia="方正仿宋_GBK" w:cs="方正仿宋_GBK"/>
          <w:color w:val="auto"/>
          <w:sz w:val="32"/>
          <w:szCs w:val="32"/>
        </w:rPr>
        <w:t>“税务青年助企团”积极走进企业园区、融入经济血脉，把学到的理论知识转化为服务实践，比如录制政策讲解系列视频，形成16个生动易懂的视频课程，在公众微信号及办税厅宣传屏滚动播出，累计观看量超过40万；开设广东税务直播间，围绕“税收优惠有妙招”主题，为纳税人提供“手把手”“面对面”的政策讲解和实时互动答疑平台，吸引1200位来自港澳地区的纳税人观看。</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服务有行动</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奔跑在落实减税降费的征途上</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减税降费是党中央、国务院深化供给侧结构性改革、推进经济高质量发展的重大决策。党有号召，团有行动。刚成立的“</w:t>
      </w:r>
      <w:r>
        <w:rPr>
          <w:rFonts w:hint="eastAsia" w:ascii="方正仿宋_GBK" w:hAnsi="方正仿宋_GBK" w:eastAsia="方正仿宋_GBK" w:cs="方正仿宋_GBK"/>
          <w:color w:val="auto"/>
          <w:sz w:val="32"/>
          <w:szCs w:val="32"/>
        </w:rPr>
        <w:t>税务青年助企团”迅速进入助企角色，发挥自身专业优势，为上百名参会企业代表详细介绍减税降费的政策内容、享受条件、计算方法、申报流程、注意事项，帮助</w:t>
      </w:r>
      <w:r>
        <w:rPr>
          <w:rFonts w:hint="eastAsia" w:ascii="方正仿宋_GBK" w:hAnsi="方正仿宋_GBK" w:eastAsia="方正仿宋_GBK" w:cs="方正仿宋_GBK"/>
          <w:bCs/>
          <w:color w:val="auto"/>
          <w:sz w:val="32"/>
          <w:szCs w:val="32"/>
        </w:rPr>
        <w:t>不同领域、不同行业和不同发展阶段的</w:t>
      </w:r>
      <w:r>
        <w:rPr>
          <w:rFonts w:hint="eastAsia" w:ascii="方正仿宋_GBK" w:hAnsi="方正仿宋_GBK" w:eastAsia="方正仿宋_GBK" w:cs="方正仿宋_GBK"/>
          <w:color w:val="auto"/>
          <w:sz w:val="32"/>
          <w:szCs w:val="32"/>
        </w:rPr>
        <w:t>企业畅享减税降费政策红利。</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广东税务系统各级“税务青年助企团”纷纷开展了创意满满的减税降费宣传活动。在东莞，“税务青年助企团”创新开发减税降费“一键查”微信小程序，并录制《减税降费一键查》宣传短视频，向纳税人演示如何轻松算出“减税降费”账，该小程序上线半个月以来，累计已有近6万户次纳税人查询了“减税账单”。在珠海横琴，“税务青年助企团”围绕“减税降费在行动”推出“湾区青年荟”“港澳青年齐逐梦”品牌计划，通过进驻珠海市青年联合会和港澳青年创业就业的各类活动开展减税降费政策宣传辅导，向港澳青年定向发布简繁两体的《湾区热点政策40问》，让港澳居民对内地税制和减税降费更有“实感”。潮州“税务青年助企团”则以“古城税韵街”牌坊街为阵地，巧妙将灯谜、铁枝木偶、剪纸等潮州传统特色文化与税收宣传辅导融合起来，开展“减税春风至 古城税韵飘”特色税收宣传活动，促进减税降费政策落实。</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此外，全省各级税务部门青年干部积极将减税降费政策宣传融入当地各类宣传活动。在中国进出口商品交易会现场，广州税务青年摆设咨询辅导区，宣传减税降费政策及税收服务“一带一路”措施；在第十一届中国加工贸易产品博览会现场，税务青年助企团组织全国税务系统领军人才、业务骨干设立“政策咨询驿站”“税收服务驿站”；在第21届中国澄海国际玩具礼品博览会上，汕头税务青年志愿者用流利的英语口语向外国客商介绍我国今年实施的一系列大规模减税降费政策，以及优化税收营商环境的举措。在广州、珠海、东莞、佛山、阳江、肇庆等多个地区的大型马拉松、徒步、体育比赛等活动现场，税务青年将政策宣传有机融入赛事活动</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青年助企，重在践行，重在落实，必须持之以恒，久久为功。广东省税务局、</w:t>
      </w:r>
      <w:r>
        <w:rPr>
          <w:rFonts w:hint="eastAsia" w:ascii="方正仿宋_GBK" w:hAnsi="方正仿宋_GBK" w:eastAsia="方正仿宋_GBK" w:cs="方正仿宋_GBK"/>
          <w:color w:val="auto"/>
          <w:sz w:val="32"/>
          <w:szCs w:val="32"/>
          <w:lang w:eastAsia="zh-CN"/>
        </w:rPr>
        <w:t>共青团广东省委</w:t>
      </w:r>
      <w:r>
        <w:rPr>
          <w:rFonts w:hint="eastAsia" w:ascii="方正仿宋_GBK" w:hAnsi="方正仿宋_GBK" w:eastAsia="方正仿宋_GBK" w:cs="方正仿宋_GBK"/>
          <w:color w:val="auto"/>
          <w:sz w:val="32"/>
          <w:szCs w:val="32"/>
        </w:rPr>
        <w:t>将组织和引导税务青年传承五四精神，以共同成立“税务青年助企团”为契机，充分调动税务青年干部的积极性和创造性，深入开展“百千万”送政策以及“青年献策”“团建共建”“志愿助宣”“先锋行动”等一系列活动，助力减税降费政策落实落细，将其打造为具有广泛社会影响力和工作推动力的青年工作品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drawing>
          <wp:anchor distT="0" distB="0" distL="114300" distR="114300" simplePos="0" relativeHeight="251664384" behindDoc="0" locked="0" layoutInCell="1" allowOverlap="1">
            <wp:simplePos x="0" y="0"/>
            <wp:positionH relativeFrom="column">
              <wp:posOffset>368935</wp:posOffset>
            </wp:positionH>
            <wp:positionV relativeFrom="paragraph">
              <wp:posOffset>3026410</wp:posOffset>
            </wp:positionV>
            <wp:extent cx="4431030" cy="2958465"/>
            <wp:effectExtent l="0" t="0" r="7620" b="13335"/>
            <wp:wrapSquare wrapText="bothSides"/>
            <wp:docPr id="10" name="图片 10" descr="F:\桌面文件\02.jpg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桌面文件\02.jpg02"/>
                    <pic:cNvPicPr>
                      <a:picLocks noChangeAspect="1"/>
                    </pic:cNvPicPr>
                  </pic:nvPicPr>
                  <pic:blipFill>
                    <a:blip r:embed="rId5">
                      <a:lum bright="12000" contrast="12000"/>
                    </a:blip>
                    <a:srcRect/>
                    <a:stretch>
                      <a:fillRect/>
                    </a:stretch>
                  </pic:blipFill>
                  <pic:spPr>
                    <a:xfrm>
                      <a:off x="0" y="0"/>
                      <a:ext cx="4431030" cy="2958465"/>
                    </a:xfrm>
                    <a:prstGeom prst="rect">
                      <a:avLst/>
                    </a:prstGeom>
                  </pic:spPr>
                </pic:pic>
              </a:graphicData>
            </a:graphic>
          </wp:anchor>
        </w:drawing>
      </w:r>
      <w:r>
        <w:rPr>
          <w:rFonts w:hint="eastAsia" w:ascii="方正仿宋_GBK" w:hAnsi="方正仿宋_GBK" w:eastAsia="方正仿宋_GBK" w:cs="方正仿宋_GBK"/>
          <w:color w:val="auto"/>
          <w:sz w:val="32"/>
          <w:szCs w:val="32"/>
          <w:lang w:eastAsia="zh-CN"/>
        </w:rPr>
        <w:drawing>
          <wp:anchor distT="0" distB="0" distL="114300" distR="114300" simplePos="0" relativeHeight="251663360" behindDoc="0" locked="0" layoutInCell="1" allowOverlap="1">
            <wp:simplePos x="0" y="0"/>
            <wp:positionH relativeFrom="column">
              <wp:posOffset>-10795</wp:posOffset>
            </wp:positionH>
            <wp:positionV relativeFrom="paragraph">
              <wp:posOffset>147320</wp:posOffset>
            </wp:positionV>
            <wp:extent cx="5217160" cy="2821940"/>
            <wp:effectExtent l="0" t="0" r="2540" b="16510"/>
            <wp:wrapSquare wrapText="bothSides"/>
            <wp:docPr id="4" name="图片 6" descr="6eb6ccf9e165efb45ba820617874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6eb6ccf9e165efb45ba820617874665"/>
                    <pic:cNvPicPr>
                      <a:picLocks noChangeAspect="1"/>
                    </pic:cNvPicPr>
                  </pic:nvPicPr>
                  <pic:blipFill>
                    <a:blip r:embed="rId6"/>
                    <a:stretch>
                      <a:fillRect/>
                    </a:stretch>
                  </pic:blipFill>
                  <pic:spPr>
                    <a:xfrm>
                      <a:off x="0" y="0"/>
                      <a:ext cx="5217160" cy="282194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F2A09"/>
    <w:rsid w:val="035E71CA"/>
    <w:rsid w:val="0F293098"/>
    <w:rsid w:val="104C4C3A"/>
    <w:rsid w:val="17175E5C"/>
    <w:rsid w:val="17EE2435"/>
    <w:rsid w:val="1C494374"/>
    <w:rsid w:val="1D5422F2"/>
    <w:rsid w:val="21352629"/>
    <w:rsid w:val="2F70574E"/>
    <w:rsid w:val="2FAA7B52"/>
    <w:rsid w:val="2FD93230"/>
    <w:rsid w:val="318210EE"/>
    <w:rsid w:val="33172DFD"/>
    <w:rsid w:val="33C66790"/>
    <w:rsid w:val="348F2A09"/>
    <w:rsid w:val="3C4F54B7"/>
    <w:rsid w:val="435E636F"/>
    <w:rsid w:val="47F449F1"/>
    <w:rsid w:val="530C71D8"/>
    <w:rsid w:val="58803C18"/>
    <w:rsid w:val="616D7D76"/>
    <w:rsid w:val="6AAD13C3"/>
    <w:rsid w:val="6D535020"/>
    <w:rsid w:val="74685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其他省直机关单</Company>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2019-05-27T07:15:00Z</dcterms:created>
  <dc:creator>龐嘉鋮</dc:creator>
  <cp:lastModifiedBy>龐嘉鋮</cp:lastModifiedBy>
  <dcterms:modified xsi:type="dcterms:W3CDTF">2019-05-27T08:02:14Z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