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ascii="方正小标宋简体" w:hAnsi="方正小标宋简体" w:eastAsia="方正小标宋简体" w:cs="方正小标宋简体"/>
          <w:sz w:val="32"/>
          <w:szCs w:val="32"/>
        </w:rPr>
      </w:pPr>
      <w:bookmarkStart w:id="0" w:name="_GoBack"/>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ascii="方正小标宋简体" w:hAnsi="方正小标宋简体" w:eastAsia="方正小标宋简体" w:cs="方正小标宋简体"/>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ascii="方正小标宋简体" w:hAnsi="方正小标宋简体" w:eastAsia="方正小标宋简体" w:cs="方正小标宋简体"/>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ascii="方正小标宋简体" w:hAnsi="方正小标宋简体" w:eastAsia="方正小标宋简体" w:cs="方正小标宋简体"/>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ascii="方正小标宋简体" w:hAnsi="方正小标宋简体" w:eastAsia="方正小标宋简体" w:cs="方正小标宋简体"/>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ascii="方正仿宋简体" w:hAnsi="方正仿宋简体" w:eastAsia="方正仿宋简体" w:cs="方正仿宋简体"/>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ascii="方正仿宋简体" w:hAnsi="方正仿宋简体" w:eastAsia="方正仿宋简体" w:cs="方正仿宋简体"/>
          <w:sz w:val="32"/>
          <w:szCs w:val="32"/>
        </w:rPr>
      </w:pPr>
    </w:p>
    <w:bookmarkEnd w:id="0"/>
    <w:p>
      <w:pPr>
        <w:spacing w:line="560" w:lineRule="exact"/>
        <w:jc w:val="center"/>
        <w:rPr>
          <w:rFonts w:hint="eastAsia" w:ascii="方正仿宋_GBK" w:hAnsi="方正仿宋简体" w:eastAsia="方正仿宋_GBK" w:cs="方正仿宋简体"/>
          <w:sz w:val="32"/>
          <w:szCs w:val="32"/>
        </w:rPr>
      </w:pPr>
      <w:r>
        <w:rPr>
          <w:rFonts w:hint="eastAsia" w:ascii="方正仿宋_GBK" w:hAnsi="方正仿宋简体" w:eastAsia="方正仿宋_GBK" w:cs="方正仿宋简体"/>
          <w:sz w:val="32"/>
          <w:szCs w:val="32"/>
        </w:rPr>
        <w:t>团粤办发〔</w:t>
      </w:r>
      <w:r>
        <w:rPr>
          <w:rFonts w:hint="eastAsia" w:ascii="方正仿宋_GBK" w:hAnsi="Times New Roman" w:eastAsia="方正仿宋_GBK" w:cs="方正仿宋简体"/>
          <w:sz w:val="32"/>
          <w:szCs w:val="32"/>
        </w:rPr>
        <w:t>2019</w:t>
      </w:r>
      <w:r>
        <w:rPr>
          <w:rFonts w:hint="eastAsia" w:ascii="方正仿宋_GBK" w:hAnsi="方正仿宋简体" w:eastAsia="方正仿宋_GBK" w:cs="方正仿宋简体"/>
          <w:sz w:val="32"/>
          <w:szCs w:val="32"/>
        </w:rPr>
        <w:t>〕</w:t>
      </w:r>
      <w:r>
        <w:rPr>
          <w:rFonts w:hint="eastAsia" w:ascii="方正仿宋_GBK" w:hAnsi="方正仿宋简体" w:eastAsia="方正仿宋_GBK" w:cs="方正仿宋简体"/>
          <w:sz w:val="32"/>
          <w:szCs w:val="32"/>
          <w:lang w:val="en-US" w:eastAsia="zh-CN"/>
        </w:rPr>
        <w:t>4</w:t>
      </w:r>
      <w:r>
        <w:rPr>
          <w:rFonts w:hint="eastAsia" w:ascii="方正仿宋_GBK" w:hAnsi="方正仿宋简体" w:eastAsia="方正仿宋_GBK" w:cs="方正仿宋简体"/>
          <w:sz w:val="32"/>
          <w:szCs w:val="32"/>
        </w:rPr>
        <w:t>号</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ascii="方正小标宋简体" w:hAnsi="方正小标宋简体" w:eastAsia="方正小标宋简体" w:cs="方正小标宋简体"/>
          <w:sz w:val="32"/>
          <w:szCs w:val="32"/>
        </w:rPr>
      </w:pPr>
    </w:p>
    <w:p>
      <w:pPr>
        <w:spacing w:line="720" w:lineRule="exact"/>
        <w:jc w:val="center"/>
        <w:rPr>
          <w:rFonts w:hint="eastAsia" w:ascii="方正小标宋简体" w:hAnsi="方正小标宋_GBK" w:eastAsia="方正小标宋简体" w:cs="方正小标宋_GBK"/>
          <w:sz w:val="44"/>
          <w:szCs w:val="44"/>
        </w:rPr>
      </w:pPr>
      <w:r>
        <w:rPr>
          <w:rFonts w:hint="eastAsia" w:ascii="方正小标宋简体" w:hAnsi="方正小标宋_GBK" w:eastAsia="方正小标宋简体" w:cs="方正小标宋_GBK"/>
          <w:sz w:val="44"/>
          <w:szCs w:val="44"/>
        </w:rPr>
        <w:t>关于全面核准“智慧团建”信息数据的通知</w:t>
      </w:r>
    </w:p>
    <w:p>
      <w:pPr>
        <w:spacing w:line="720" w:lineRule="exact"/>
        <w:jc w:val="center"/>
        <w:rPr>
          <w:rFonts w:ascii="方正小标宋_GBK" w:hAnsi="方正小标宋_GBK" w:eastAsia="方正小标宋_GBK" w:cs="方正小标宋_GBK"/>
          <w:sz w:val="44"/>
          <w:szCs w:val="44"/>
        </w:rPr>
      </w:pPr>
    </w:p>
    <w:p>
      <w:pPr>
        <w:keepNext w:val="0"/>
        <w:keepLines w:val="0"/>
        <w:pageBreakBefore w:val="0"/>
        <w:widowControl w:val="0"/>
        <w:kinsoku/>
        <w:overflowPunct/>
        <w:topLinePunct w:val="0"/>
        <w:autoSpaceDE/>
        <w:autoSpaceDN/>
        <w:bidi w:val="0"/>
        <w:adjustRightInd/>
        <w:spacing w:line="540" w:lineRule="exact"/>
        <w:ind w:left="0" w:leftChars="0" w:right="0" w:rightChars="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各地级以上市团委，省直机关团工委、省社会组织团工委、省金融团工委、省属企业团工委，省地质局团委，各省属高校团委、各省属中学团委，团省委机关相关部室：</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自全省统一应用“智慧团建”系统以来，基础团务工作得到加强与改进，但由于前期部分团干部及团员思想上不够重视等原因，造成团组织、团干部以及团员信息数据均存在不同程度的错漏，严重影响对团组织、团干部和团员的精准管理。现就全面核准“智慧团建”信息数据工作部署如下，请务必抓好落实，相关数据团省委将上报团中央。</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黑体_GBK" w:hAnsi="黑体" w:eastAsia="方正黑体_GBK" w:cs="方正楷体_GBK"/>
          <w:sz w:val="32"/>
          <w:szCs w:val="32"/>
        </w:rPr>
      </w:pPr>
      <w:r>
        <w:rPr>
          <w:rFonts w:hint="eastAsia" w:ascii="方正黑体_GBK" w:hAnsi="黑体" w:eastAsia="方正黑体_GBK" w:cs="方正楷体_GBK"/>
          <w:sz w:val="32"/>
          <w:szCs w:val="32"/>
        </w:rPr>
        <w:t>一、核准团干部信息</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前期基层团组织对专</w:t>
      </w:r>
      <w:r>
        <w:rPr>
          <w:rFonts w:hint="eastAsia" w:ascii="方正仿宋_GBK" w:hAnsi="方正仿宋_GBK" w:eastAsia="方正仿宋_GBK" w:cs="方正仿宋_GBK"/>
          <w:sz w:val="32"/>
          <w:szCs w:val="32"/>
          <w:lang w:eastAsia="zh-CN"/>
        </w:rPr>
        <w:t>兼挂</w:t>
      </w:r>
      <w:r>
        <w:rPr>
          <w:rFonts w:hint="eastAsia" w:ascii="方正仿宋_GBK" w:hAnsi="方正仿宋_GBK" w:eastAsia="方正仿宋_GBK" w:cs="方正仿宋_GBK"/>
          <w:sz w:val="32"/>
          <w:szCs w:val="32"/>
        </w:rPr>
        <w:t>职团干部定义的理解不一，加上部分团支部负责人未尽责准确审核和及时更新所属组织团干部信息，造成团干部信息数据与真实情况存在较大偏差</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与2017年各级团组织书面报送的团统数据相比，“智慧团建”上全省专兼挂职团干部比例变化巨大，特别是专职团干部数量异常增长，与实际情况严重不符（各地各单位具体数据详见附件1）。</w:t>
      </w:r>
      <w:r>
        <w:rPr>
          <w:rFonts w:hint="eastAsia" w:ascii="方正仿宋_GBK" w:hAnsi="方正仿宋_GBK" w:eastAsia="方正仿宋_GBK" w:cs="方正仿宋_GBK"/>
          <w:bCs/>
          <w:sz w:val="32"/>
          <w:szCs w:val="32"/>
        </w:rPr>
        <w:t>各级团组织要对系统上团干部信息进行全面严格核查整改，</w:t>
      </w:r>
      <w:r>
        <w:rPr>
          <w:rFonts w:hint="eastAsia" w:ascii="方正仿宋_GBK" w:hAnsi="方正仿宋_GBK" w:eastAsia="方正仿宋_GBK" w:cs="方正仿宋_GBK"/>
          <w:sz w:val="32"/>
          <w:szCs w:val="32"/>
        </w:rPr>
        <w:t>确保团干部信息准确无误，并逐级督导重点精准完成以下两方面工作：</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ascii="方正仿宋_GBK" w:hAnsi="方正仿宋_GBK" w:eastAsia="方正仿宋_GBK" w:cs="方正仿宋_GBK"/>
          <w:b/>
          <w:bCs/>
          <w:sz w:val="32"/>
          <w:szCs w:val="32"/>
        </w:rPr>
      </w:pPr>
      <w:r>
        <w:rPr>
          <w:rFonts w:hint="eastAsia" w:ascii="方正楷体_GBK" w:hAnsi="方正楷体_GBK" w:eastAsia="方正楷体_GBK" w:cs="方正楷体_GBK"/>
          <w:sz w:val="32"/>
          <w:szCs w:val="32"/>
        </w:rPr>
        <w:t>（一）全面核准专兼挂职团干部。</w:t>
      </w:r>
      <w:r>
        <w:rPr>
          <w:rFonts w:hint="eastAsia" w:ascii="方正仿宋_GBK" w:hAnsi="方正仿宋_GBK" w:eastAsia="方正仿宋_GBK" w:cs="方正仿宋_GBK"/>
          <w:sz w:val="32"/>
          <w:szCs w:val="32"/>
        </w:rPr>
        <w:t>根据团中央《关于做好2018年度团内统计工作的通知》（团组字〔2018〕24号），专兼挂职团干部定义为：</w:t>
      </w:r>
      <w:r>
        <w:rPr>
          <w:rFonts w:hint="eastAsia" w:ascii="方正仿宋_GBK" w:hAnsi="方正仿宋_GBK" w:eastAsia="方正仿宋_GBK" w:cs="方正仿宋_GBK"/>
          <w:b/>
          <w:bCs/>
          <w:sz w:val="32"/>
          <w:szCs w:val="32"/>
        </w:rPr>
        <w:t>专职团干部是指由单位正式工作人员担任的、职级待遇根据团的岗位确定、以团的工作为主要任务的团干部。如，各级团的领导机关正式工作人员，乡镇（街道）团委书记，部分高校、机关事业单位、国有企业等单位的专职团干部。兼职团干部是指以团的工作为辅，在团内兼职的团干部（学生团干部均为兼职团干部）。挂职团干部是指在各级团的领导机关挂任职务时间1年以上的工作人员。</w:t>
      </w:r>
      <w:r>
        <w:rPr>
          <w:rFonts w:hint="eastAsia" w:ascii="方正仿宋_GBK" w:hAnsi="方正仿宋_GBK" w:eastAsia="方正仿宋_GBK" w:cs="方正仿宋_GBK"/>
          <w:sz w:val="32"/>
          <w:szCs w:val="32"/>
        </w:rPr>
        <w:t>按照以上定义，各级团组织从严从实重新核准修改团干部专兼挂职信息。</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（二）及时清理已离职团干部。</w:t>
      </w:r>
      <w:r>
        <w:rPr>
          <w:rFonts w:hint="eastAsia" w:ascii="方正仿宋_GBK" w:hAnsi="方正仿宋_GBK" w:eastAsia="方正仿宋_GBK" w:cs="方正仿宋_GBK"/>
          <w:sz w:val="32"/>
          <w:szCs w:val="32"/>
        </w:rPr>
        <w:t>在系统团干部管理功能板块上，删除已正式离职团干部</w:t>
      </w:r>
      <w:r>
        <w:rPr>
          <w:rFonts w:hint="eastAsia" w:ascii="方正仿宋_GBK" w:hAnsi="方正仿宋_GBK" w:eastAsia="方正仿宋_GBK" w:cs="方正仿宋_GBK"/>
          <w:b/>
          <w:bCs/>
          <w:sz w:val="32"/>
          <w:szCs w:val="32"/>
        </w:rPr>
        <w:t>（特别是学生团干部）</w:t>
      </w:r>
      <w:r>
        <w:rPr>
          <w:rFonts w:hint="eastAsia" w:ascii="方正仿宋_GBK" w:hAnsi="方正仿宋_GBK" w:eastAsia="方正仿宋_GBK" w:cs="方正仿宋_GBK"/>
          <w:sz w:val="32"/>
          <w:szCs w:val="32"/>
        </w:rPr>
        <w:t>。各级团组织必须保持该项工作的常态化开展，及时录入新入职团干部，并对应清理已离职团干部。</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黑体_GBK" w:hAnsi="黑体" w:eastAsia="方正黑体_GBK" w:cs="方正楷体_GBK"/>
          <w:sz w:val="32"/>
          <w:szCs w:val="32"/>
        </w:rPr>
      </w:pPr>
      <w:r>
        <w:rPr>
          <w:rFonts w:hint="eastAsia" w:ascii="方正黑体_GBK" w:hAnsi="方正黑体_GBK" w:eastAsia="方正黑体_GBK" w:cs="方正黑体_GBK"/>
          <w:sz w:val="32"/>
          <w:szCs w:val="32"/>
        </w:rPr>
        <w:t>二、</w:t>
      </w:r>
      <w:r>
        <w:rPr>
          <w:rFonts w:hint="eastAsia" w:ascii="方正黑体_GBK" w:hAnsi="黑体" w:eastAsia="方正黑体_GBK" w:cs="方正楷体_GBK"/>
          <w:sz w:val="32"/>
          <w:szCs w:val="32"/>
        </w:rPr>
        <w:t>核准团员信息</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部分团员对录入信息不够重视，不如实填报、不及时更新，造成团员信息不实（特别是收入和政治面貌信息错误），直接影响团内统计、团费收缴、推优入党等工作的准确度和严肃性。</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各级团组织要层层部署至团支部，督促团员在系统上重新核实本人收入、政治面貌、入团年月、手机号码等必填信息，并如实更新或修改，</w:t>
      </w:r>
      <w:r>
        <w:rPr>
          <w:rFonts w:hint="eastAsia" w:ascii="方正仿宋_GBK" w:hAnsi="方正仿宋_GBK" w:eastAsia="方正仿宋_GBK" w:cs="方正仿宋_GBK"/>
          <w:b/>
          <w:bCs/>
          <w:sz w:val="32"/>
          <w:szCs w:val="32"/>
        </w:rPr>
        <w:t>其中重点核查收入、政治面貌</w:t>
      </w:r>
      <w:r>
        <w:rPr>
          <w:rFonts w:hint="eastAsia" w:ascii="方正仿宋_GBK" w:hAnsi="方正仿宋_GBK" w:eastAsia="方正仿宋_GBK" w:cs="方正仿宋_GBK"/>
          <w:sz w:val="32"/>
          <w:szCs w:val="32"/>
        </w:rPr>
        <w:t>。全面杜绝非学生团员将收入信息列为“职业为学生无收入”及有固定收入团员将收入信息列为“农村户籍且无固定收入”的现象（各地各单位具体数据详见附件2），严禁非党员将本人政治面貌填为党员（“智慧团建”系统年内将对接“党建云”系统进行比对，此次核准工作后仍未改正的团员，将问责其本人及所属团组织负责人）。各级团组织至少每半年定期更新团员信息一次，确保团员信息的准确性。</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黑体_GBK" w:hAnsi="黑体" w:eastAsia="方正黑体_GBK" w:cs="方正楷体_GBK"/>
          <w:sz w:val="32"/>
          <w:szCs w:val="32"/>
        </w:rPr>
      </w:pPr>
      <w:r>
        <w:rPr>
          <w:rFonts w:hint="eastAsia" w:ascii="方正黑体_GBK" w:hAnsi="黑体" w:eastAsia="方正黑体_GBK" w:cs="方正楷体_GBK"/>
          <w:sz w:val="32"/>
          <w:szCs w:val="32"/>
        </w:rPr>
        <w:t>三、核准团组织信息</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部分团组织早期在录入系统时未严格按照要求填报相关信息，造成部分团员团干无法搜索定位团组织、团组织联系方式无效等问题，影响加强基层团建后续工作推进。各级团组织要按照逐级负责原则，全面排查下一级所有团组织信息并及时整改。</w:t>
      </w:r>
    </w:p>
    <w:p>
      <w:pPr>
        <w:keepNext w:val="0"/>
        <w:keepLines w:val="0"/>
        <w:pageBreakBefore w:val="0"/>
        <w:widowControl w:val="0"/>
        <w:numPr>
          <w:numId w:val="0"/>
        </w:numPr>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lang w:eastAsia="zh-CN"/>
        </w:rPr>
        <w:t>（一）</w:t>
      </w:r>
      <w:r>
        <w:rPr>
          <w:rFonts w:hint="eastAsia" w:ascii="方正楷体_GBK" w:hAnsi="方正楷体_GBK" w:eastAsia="方正楷体_GBK" w:cs="方正楷体_GBK"/>
          <w:sz w:val="32"/>
          <w:szCs w:val="32"/>
        </w:rPr>
        <w:t>规范团组织名称。</w:t>
      </w:r>
      <w:r>
        <w:rPr>
          <w:rFonts w:hint="eastAsia" w:ascii="方正仿宋_GBK" w:hAnsi="方正仿宋_GBK" w:eastAsia="方正仿宋_GBK" w:cs="方正仿宋_GBK"/>
          <w:sz w:val="32"/>
          <w:szCs w:val="32"/>
        </w:rPr>
        <w:t>严格对照《关于做好“智慧团建”系统团干部入驻移动端、团员在线报到阶段工作的通知》（团粤办发〔2017</w:t>
      </w:r>
      <w:r>
        <w:rPr>
          <w:rFonts w:hint="eastAsia" w:ascii="方正仿宋_GBK" w:hAnsi="方正仿宋_GBK" w:eastAsia="方正仿宋_GBK" w:cs="方正仿宋_GBK"/>
          <w:sz w:val="32"/>
          <w:szCs w:val="32"/>
        </w:rPr>
        <w:t>〕61</w:t>
      </w:r>
      <w:r>
        <w:rPr>
          <w:rFonts w:hint="eastAsia" w:ascii="方正仿宋_GBK" w:hAnsi="方正仿宋_GBK" w:eastAsia="方正仿宋_GBK" w:cs="方正仿宋_GBK"/>
          <w:sz w:val="32"/>
          <w:szCs w:val="32"/>
        </w:rPr>
        <w:t>号）有关团组织名称规范的说明</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详见附件3</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eastAsia="zh-CN"/>
        </w:rPr>
        <w:t>结合系统上标注的填写规则，核准并修改团组织全称、简称</w:t>
      </w:r>
      <w:r>
        <w:rPr>
          <w:rFonts w:hint="eastAsia" w:ascii="方正仿宋_GBK" w:hAnsi="方正仿宋_GBK" w:eastAsia="方正仿宋_GBK" w:cs="方正仿宋_GBK"/>
          <w:sz w:val="32"/>
          <w:szCs w:val="32"/>
          <w:lang w:val="en-US" w:eastAsia="zh-CN"/>
        </w:rPr>
        <w:t>及</w:t>
      </w:r>
      <w:r>
        <w:rPr>
          <w:rFonts w:hint="eastAsia" w:ascii="方正仿宋_GBK" w:hAnsi="方正仿宋_GBK" w:eastAsia="方正仿宋_GBK" w:cs="方正仿宋_GBK"/>
          <w:sz w:val="32"/>
          <w:szCs w:val="32"/>
          <w:lang w:eastAsia="zh-CN"/>
        </w:rPr>
        <w:t>代称（</w:t>
      </w:r>
      <w:r>
        <w:rPr>
          <w:rFonts w:hint="eastAsia" w:ascii="方正仿宋_GBK" w:hAnsi="方正仿宋_GBK" w:eastAsia="方正仿宋_GBK" w:cs="方正仿宋_GBK"/>
          <w:sz w:val="32"/>
          <w:szCs w:val="32"/>
          <w:lang w:val="en-US" w:eastAsia="zh-CN"/>
        </w:rPr>
        <w:t>在广东共青团企业</w:t>
      </w:r>
      <w:r>
        <w:rPr>
          <w:rFonts w:hint="eastAsia" w:ascii="方正仿宋_GBK" w:hAnsi="方正仿宋_GBK" w:eastAsia="方正仿宋_GBK" w:cs="方正仿宋_GBK"/>
          <w:sz w:val="32"/>
          <w:szCs w:val="32"/>
          <w:lang w:eastAsia="zh-CN"/>
        </w:rPr>
        <w:t>微信</w:t>
      </w:r>
      <w:r>
        <w:rPr>
          <w:rFonts w:hint="eastAsia" w:ascii="方正仿宋_GBK" w:hAnsi="方正仿宋_GBK" w:eastAsia="方正仿宋_GBK" w:cs="方正仿宋_GBK"/>
          <w:sz w:val="32"/>
          <w:szCs w:val="32"/>
          <w:lang w:val="en-US" w:eastAsia="zh-CN"/>
        </w:rPr>
        <w:t>中出现的各级团组织</w:t>
      </w:r>
      <w:r>
        <w:rPr>
          <w:rFonts w:hint="eastAsia" w:ascii="方正仿宋_GBK" w:hAnsi="方正仿宋_GBK" w:eastAsia="方正仿宋_GBK" w:cs="方正仿宋_GBK"/>
          <w:sz w:val="32"/>
          <w:szCs w:val="32"/>
          <w:lang w:eastAsia="zh-CN"/>
        </w:rPr>
        <w:t>名称）。其中，不规范的团组织全称、简称，由上级团组织直接负责修改；不规范的团组织代称，由上级团组织在广东共青团企业微信中的“智慧团建通讯录”里逐一甄别，并要求代称不规范的团组织在“智慧团建”系统上自行修改</w:t>
      </w:r>
      <w:r>
        <w:rPr>
          <w:rFonts w:hint="eastAsia" w:ascii="方正仿宋_GBK" w:hAnsi="方正仿宋_GBK" w:eastAsia="方正仿宋_GBK" w:cs="方正仿宋_GBK"/>
          <w:sz w:val="32"/>
          <w:szCs w:val="32"/>
        </w:rPr>
        <w:t>。</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（二）核准团组织类别。</w:t>
      </w:r>
      <w:r>
        <w:rPr>
          <w:rFonts w:hint="eastAsia" w:ascii="方正仿宋_GBK" w:hAnsi="方正仿宋_GBK" w:eastAsia="方正仿宋_GBK" w:cs="方正仿宋_GBK"/>
          <w:sz w:val="32"/>
          <w:szCs w:val="32"/>
          <w:lang w:eastAsia="zh-CN"/>
        </w:rPr>
        <w:t>严格对照系统上标注的说明，重新核准各级团组织组织类型和所属行业类别。</w:t>
      </w:r>
      <w:r>
        <w:rPr>
          <w:rFonts w:hint="eastAsia" w:ascii="方正仿宋_GBK" w:hAnsi="方正仿宋_GBK" w:eastAsia="方正仿宋_GBK" w:cs="方正仿宋_GBK"/>
          <w:sz w:val="32"/>
          <w:szCs w:val="32"/>
        </w:rPr>
        <w:t>重点核准团组织行业类别，</w:t>
      </w:r>
      <w:r>
        <w:rPr>
          <w:rFonts w:hint="eastAsia" w:ascii="方正仿宋_GBK" w:hAnsi="方正仿宋_GBK" w:eastAsia="方正仿宋_GBK" w:cs="方正仿宋_GBK"/>
          <w:b/>
          <w:bCs/>
          <w:sz w:val="32"/>
          <w:szCs w:val="32"/>
        </w:rPr>
        <w:t>全面杜绝团组织行业类别</w:t>
      </w:r>
      <w:r>
        <w:rPr>
          <w:rFonts w:hint="eastAsia" w:ascii="方正仿宋_GBK" w:hAnsi="方正仿宋_GBK" w:eastAsia="方正仿宋_GBK" w:cs="方正仿宋_GBK"/>
          <w:b/>
          <w:bCs/>
          <w:sz w:val="32"/>
          <w:szCs w:val="32"/>
          <w:lang w:eastAsia="zh-CN"/>
        </w:rPr>
        <w:t>为空</w:t>
      </w:r>
      <w:r>
        <w:rPr>
          <w:rFonts w:hint="eastAsia" w:ascii="方正仿宋_GBK" w:hAnsi="方正仿宋_GBK" w:eastAsia="方正仿宋_GBK" w:cs="方正仿宋_GBK"/>
          <w:b/>
          <w:bCs/>
          <w:sz w:val="32"/>
          <w:szCs w:val="32"/>
        </w:rPr>
        <w:t>的情况</w:t>
      </w:r>
      <w:r>
        <w:rPr>
          <w:rFonts w:hint="eastAsia" w:ascii="方正仿宋_GBK" w:hAnsi="方正仿宋_GBK" w:eastAsia="方正仿宋_GBK" w:cs="方正仿宋_GBK"/>
          <w:sz w:val="32"/>
          <w:szCs w:val="32"/>
        </w:rPr>
        <w:t>。其中，村团组织及社区团组织的行业类别分别对应农村和城市社区；镇（街道）团组织的行业类别对应党政机关。</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四、工作要求</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级团组织务必高度重视此次“智慧团建”信息数据核准工作，整改后的数据将作为各项基础团务和评选表彰工作的关键参考依据。请各地级以上市团委，省直机关团工委、省社会组织团工委、省金融团工委、省属企业团工委，省地质局团委，各省属高校团委、各省属中学团委负责汇总所有下级团组织整改情况，填报《“智慧团建”信息数据核准汇总表》（附件4），于2019年3月8日前报至团省委（各地级以上市团委，省直机关团工委、省社会组织团工委、省金融团工委、省属企业团工委，省地质局团委报至基层组织建设部，各省属高校团委报至学校部，省属中学团委报至少年部）。团省委将依据“智慧团建”系统对该项工作进行核查并视情况进行通报。</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ascii="方正仿宋_GBK" w:hAnsi="方正仿宋_GBK" w:eastAsia="方正仿宋_GBK" w:cs="方正仿宋_GBK"/>
          <w:sz w:val="32"/>
          <w:szCs w:val="32"/>
        </w:rPr>
      </w:pP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附件：1.广东省团干部专兼挂职数量对比表</w:t>
      </w:r>
    </w:p>
    <w:p>
      <w:pPr>
        <w:keepNext w:val="0"/>
        <w:keepLines w:val="0"/>
        <w:pageBreakBefore w:val="0"/>
        <w:widowControl w:val="0"/>
        <w:kinsoku/>
        <w:overflowPunct/>
        <w:topLinePunct w:val="0"/>
        <w:autoSpaceDE/>
        <w:autoSpaceDN/>
        <w:bidi w:val="0"/>
        <w:adjustRightInd/>
        <w:spacing w:line="540" w:lineRule="exact"/>
        <w:ind w:left="0" w:leftChars="0" w:right="0" w:rightChars="0" w:firstLine="1600" w:firstLineChars="5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2.“收入”信息误填（含未及时更新）的团员情况表</w:t>
      </w:r>
    </w:p>
    <w:p>
      <w:pPr>
        <w:keepNext w:val="0"/>
        <w:keepLines w:val="0"/>
        <w:pageBreakBefore w:val="0"/>
        <w:widowControl w:val="0"/>
        <w:kinsoku/>
        <w:overflowPunct/>
        <w:topLinePunct w:val="0"/>
        <w:autoSpaceDE/>
        <w:autoSpaceDN/>
        <w:bidi w:val="0"/>
        <w:adjustRightInd/>
        <w:spacing w:line="540" w:lineRule="exact"/>
        <w:ind w:left="0" w:leftChars="0" w:right="0" w:rightChars="0" w:firstLine="1600" w:firstLineChars="5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3.团组织名称规范说明</w:t>
      </w:r>
    </w:p>
    <w:p>
      <w:pPr>
        <w:keepNext w:val="0"/>
        <w:keepLines w:val="0"/>
        <w:pageBreakBefore w:val="0"/>
        <w:widowControl w:val="0"/>
        <w:kinsoku/>
        <w:overflowPunct/>
        <w:topLinePunct w:val="0"/>
        <w:autoSpaceDE/>
        <w:autoSpaceDN/>
        <w:bidi w:val="0"/>
        <w:adjustRightInd/>
        <w:spacing w:line="540" w:lineRule="exact"/>
        <w:ind w:left="0" w:leftChars="0" w:right="0" w:rightChars="0" w:firstLine="1600" w:firstLineChars="5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.“智慧团建”系统信息数据核准汇总表</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基层部联系人：余鸿章</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联系电话：020-87185624</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邮箱：tswjcb@163.com</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学校部联系人：徐  华</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联系电话：020-87195615</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邮箱：xxb@gdcyl.org</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少年部联系人：张霭之</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联系电话：020-871</w:t>
      </w:r>
      <w:r>
        <w:rPr>
          <w:rFonts w:hint="eastAsia" w:ascii="方正仿宋_GBK" w:hAnsi="方正仿宋_GBK" w:eastAsia="方正仿宋_GBK" w:cs="方正仿宋_GBK"/>
          <w:sz w:val="32"/>
          <w:szCs w:val="32"/>
          <w:lang w:val="en-US" w:eastAsia="zh-CN"/>
        </w:rPr>
        <w:t>9</w:t>
      </w:r>
      <w:r>
        <w:rPr>
          <w:rFonts w:hint="eastAsia" w:ascii="方正仿宋_GBK" w:hAnsi="方正仿宋_GBK" w:eastAsia="方正仿宋_GBK" w:cs="方正仿宋_GBK"/>
          <w:sz w:val="32"/>
          <w:szCs w:val="32"/>
        </w:rPr>
        <w:t>5618</w:t>
      </w: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邮箱：tswsnb2008@163.com</w:t>
      </w:r>
    </w:p>
    <w:p>
      <w:pPr>
        <w:keepNext w:val="0"/>
        <w:keepLines w:val="0"/>
        <w:pageBreakBefore w:val="0"/>
        <w:widowControl w:val="0"/>
        <w:kinsoku/>
        <w:overflowPunct/>
        <w:topLinePunct w:val="0"/>
        <w:autoSpaceDE/>
        <w:autoSpaceDN/>
        <w:bidi w:val="0"/>
        <w:adjustRightInd/>
        <w:snapToGrid w:val="0"/>
        <w:spacing w:line="540" w:lineRule="exact"/>
        <w:ind w:left="0" w:leftChars="0" w:right="0" w:rightChars="0" w:firstLine="624"/>
        <w:textAlignment w:val="auto"/>
        <w:outlineLvl w:val="9"/>
        <w:rPr>
          <w:rFonts w:ascii="方正仿宋_GBK" w:hAnsi="方正仿宋_GBK" w:eastAsia="方正仿宋_GBK" w:cs="方正仿宋_GBK"/>
          <w:sz w:val="32"/>
          <w:szCs w:val="32"/>
        </w:rPr>
      </w:pPr>
    </w:p>
    <w:p>
      <w:pPr>
        <w:keepNext w:val="0"/>
        <w:keepLines w:val="0"/>
        <w:pageBreakBefore w:val="0"/>
        <w:widowControl w:val="0"/>
        <w:kinsoku/>
        <w:overflowPunct/>
        <w:topLinePunct w:val="0"/>
        <w:autoSpaceDE/>
        <w:autoSpaceDN/>
        <w:bidi w:val="0"/>
        <w:adjustRightInd/>
        <w:spacing w:line="540" w:lineRule="exact"/>
        <w:ind w:left="0" w:leftChars="0" w:right="0" w:rightChars="0" w:firstLine="640" w:firstLineChars="200"/>
        <w:jc w:val="right"/>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共青团广东省委办公室</w:t>
      </w:r>
    </w:p>
    <w:p>
      <w:pPr>
        <w:keepNext w:val="0"/>
        <w:keepLines w:val="0"/>
        <w:pageBreakBefore w:val="0"/>
        <w:widowControl w:val="0"/>
        <w:kinsoku/>
        <w:wordWrap w:val="0"/>
        <w:overflowPunct/>
        <w:topLinePunct w:val="0"/>
        <w:autoSpaceDE/>
        <w:autoSpaceDN/>
        <w:bidi w:val="0"/>
        <w:adjustRightInd/>
        <w:spacing w:line="540" w:lineRule="exact"/>
        <w:ind w:left="0" w:leftChars="0" w:right="0" w:rightChars="0" w:firstLine="640" w:firstLineChars="200"/>
        <w:jc w:val="right"/>
        <w:textAlignment w:val="auto"/>
        <w:outlineLvl w:val="9"/>
        <w:rPr>
          <w:rFonts w:hint="eastAsia" w:ascii="方正仿宋_GBK" w:hAnsi="方正仿宋_GBK" w:eastAsia="方正仿宋_GBK" w:cs="方正仿宋_GBK"/>
          <w:sz w:val="32"/>
          <w:szCs w:val="32"/>
        </w:rPr>
        <w:sectPr>
          <w:footerReference r:id="rId3" w:type="default"/>
          <w:footerReference r:id="rId4" w:type="even"/>
          <w:pgSz w:w="11906" w:h="16838"/>
          <w:pgMar w:top="2098" w:right="1474" w:bottom="1984" w:left="1588" w:header="851" w:footer="1587" w:gutter="0"/>
          <w:paperSrc/>
          <w:pgNumType w:fmt="numberInDash"/>
          <w:cols w:space="0" w:num="1"/>
          <w:docGrid w:type="lines" w:linePitch="411" w:charSpace="0"/>
        </w:sectPr>
      </w:pPr>
      <w:r>
        <w:rPr>
          <w:rFonts w:hint="eastAsia" w:ascii="方正仿宋_GBK" w:hAnsi="方正仿宋_GBK" w:eastAsia="方正仿宋_GBK" w:cs="方正仿宋_GBK"/>
          <w:sz w:val="32"/>
          <w:szCs w:val="32"/>
        </w:rPr>
        <w:t>2019年2月1</w:t>
      </w:r>
      <w:r>
        <w:rPr>
          <w:rFonts w:hint="eastAsia" w:ascii="方正仿宋_GBK" w:hAnsi="方正仿宋_GBK" w:eastAsia="方正仿宋_GBK" w:cs="方正仿宋_GBK"/>
          <w:sz w:val="32"/>
          <w:szCs w:val="32"/>
          <w:lang w:val="en-US" w:eastAsia="zh-CN"/>
        </w:rPr>
        <w:t>8</w:t>
      </w:r>
      <w:r>
        <w:rPr>
          <w:rFonts w:hint="eastAsia" w:ascii="方正仿宋_GBK" w:hAnsi="方正仿宋_GBK" w:eastAsia="方正仿宋_GBK" w:cs="方正仿宋_GBK"/>
          <w:sz w:val="32"/>
          <w:szCs w:val="32"/>
        </w:rPr>
        <w:t xml:space="preserve">日   </w:t>
      </w:r>
    </w:p>
    <w:p>
      <w:pPr>
        <w:spacing w:line="560" w:lineRule="exact"/>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附件1</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广东省团干部专兼挂职数量对比表</w:t>
      </w:r>
    </w:p>
    <w:p>
      <w:pPr>
        <w:spacing w:line="560" w:lineRule="exact"/>
        <w:jc w:val="center"/>
        <w:rPr>
          <w:rFonts w:ascii="方正小标宋简体" w:hAnsi="方正小标宋简体" w:eastAsia="方正小标宋简体" w:cs="方正小标宋简体"/>
          <w:sz w:val="32"/>
          <w:szCs w:val="32"/>
        </w:rPr>
      </w:pPr>
    </w:p>
    <w:tbl>
      <w:tblPr>
        <w:tblStyle w:val="7"/>
        <w:tblW w:w="10020" w:type="dxa"/>
        <w:jc w:val="center"/>
        <w:tblInd w:w="-453" w:type="dxa"/>
        <w:tblLayout w:type="fixed"/>
        <w:tblCellMar>
          <w:top w:w="15" w:type="dxa"/>
          <w:left w:w="15" w:type="dxa"/>
          <w:bottom w:w="15" w:type="dxa"/>
          <w:right w:w="15" w:type="dxa"/>
        </w:tblCellMar>
      </w:tblPr>
      <w:tblGrid>
        <w:gridCol w:w="731"/>
        <w:gridCol w:w="2160"/>
        <w:gridCol w:w="791"/>
        <w:gridCol w:w="791"/>
        <w:gridCol w:w="791"/>
        <w:gridCol w:w="791"/>
        <w:gridCol w:w="791"/>
        <w:gridCol w:w="791"/>
        <w:gridCol w:w="791"/>
        <w:gridCol w:w="791"/>
        <w:gridCol w:w="801"/>
      </w:tblGrid>
      <w:tr>
        <w:tblPrEx>
          <w:tblLayout w:type="fixed"/>
          <w:tblCellMar>
            <w:top w:w="15" w:type="dxa"/>
            <w:left w:w="15" w:type="dxa"/>
            <w:bottom w:w="15" w:type="dxa"/>
            <w:right w:w="15" w:type="dxa"/>
          </w:tblCellMar>
        </w:tblPrEx>
        <w:trPr>
          <w:trHeight w:val="23" w:hRule="atLeast"/>
          <w:jc w:val="center"/>
        </w:trPr>
        <w:tc>
          <w:tcPr>
            <w:tcW w:w="28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单位</w:t>
            </w:r>
          </w:p>
        </w:tc>
        <w:tc>
          <w:tcPr>
            <w:tcW w:w="23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专职团干部</w:t>
            </w:r>
          </w:p>
        </w:tc>
        <w:tc>
          <w:tcPr>
            <w:tcW w:w="2373"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兼职团干部</w:t>
            </w:r>
          </w:p>
        </w:tc>
        <w:tc>
          <w:tcPr>
            <w:tcW w:w="2383" w:type="dxa"/>
            <w:gridSpan w:val="3"/>
            <w:tcBorders>
              <w:top w:val="single" w:color="000000"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kern w:val="0"/>
                <w:sz w:val="15"/>
                <w:szCs w:val="15"/>
              </w:rPr>
            </w:pPr>
            <w:r>
              <w:rPr>
                <w:rFonts w:hint="eastAsia" w:ascii="方正仿宋_GBK" w:hAnsi="方正仿宋_GBK" w:eastAsia="方正仿宋_GBK" w:cs="方正仿宋_GBK"/>
                <w:b/>
                <w:color w:val="000000"/>
                <w:kern w:val="0"/>
                <w:sz w:val="15"/>
                <w:szCs w:val="15"/>
              </w:rPr>
              <w:t>挂职团干部</w:t>
            </w:r>
          </w:p>
        </w:tc>
      </w:tr>
      <w:tr>
        <w:tblPrEx>
          <w:tblLayout w:type="fixed"/>
          <w:tblCellMar>
            <w:top w:w="15" w:type="dxa"/>
            <w:left w:w="15" w:type="dxa"/>
            <w:bottom w:w="15" w:type="dxa"/>
            <w:right w:w="15" w:type="dxa"/>
          </w:tblCellMar>
        </w:tblPrEx>
        <w:trPr>
          <w:trHeight w:val="23" w:hRule="atLeast"/>
          <w:jc w:val="center"/>
        </w:trPr>
        <w:tc>
          <w:tcPr>
            <w:tcW w:w="28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791"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2017年</w:t>
            </w:r>
          </w:p>
        </w:tc>
        <w:tc>
          <w:tcPr>
            <w:tcW w:w="791"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2018年</w:t>
            </w:r>
          </w:p>
        </w:tc>
        <w:tc>
          <w:tcPr>
            <w:tcW w:w="791"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增幅变化</w:t>
            </w:r>
          </w:p>
        </w:tc>
        <w:tc>
          <w:tcPr>
            <w:tcW w:w="791"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2017年</w:t>
            </w:r>
          </w:p>
        </w:tc>
        <w:tc>
          <w:tcPr>
            <w:tcW w:w="791"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2018年</w:t>
            </w:r>
          </w:p>
        </w:tc>
        <w:tc>
          <w:tcPr>
            <w:tcW w:w="791" w:type="dxa"/>
            <w:tcBorders>
              <w:top w:val="single" w:color="auto" w:sz="4" w:space="0"/>
              <w:left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增幅变化</w:t>
            </w:r>
          </w:p>
        </w:tc>
        <w:tc>
          <w:tcPr>
            <w:tcW w:w="791" w:type="dxa"/>
            <w:tcBorders>
              <w:top w:val="single" w:color="auto" w:sz="4" w:space="0"/>
              <w:left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2017年</w:t>
            </w:r>
          </w:p>
        </w:tc>
        <w:tc>
          <w:tcPr>
            <w:tcW w:w="791" w:type="dxa"/>
            <w:tcBorders>
              <w:top w:val="single" w:color="auto" w:sz="4" w:space="0"/>
              <w:left w:val="single" w:color="000000" w:sz="4" w:space="0"/>
              <w:right w:val="single" w:color="auto"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2018年</w:t>
            </w:r>
          </w:p>
        </w:tc>
        <w:tc>
          <w:tcPr>
            <w:tcW w:w="801" w:type="dxa"/>
            <w:tcBorders>
              <w:top w:val="single" w:color="000000" w:sz="4" w:space="0"/>
              <w:left w:val="single" w:color="auto" w:sz="4" w:space="0"/>
              <w:right w:val="single" w:color="auto"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增幅变化</w:t>
            </w:r>
          </w:p>
        </w:tc>
      </w:tr>
      <w:tr>
        <w:tblPrEx>
          <w:tblLayout w:type="fixed"/>
          <w:tblCellMar>
            <w:top w:w="15" w:type="dxa"/>
            <w:left w:w="15" w:type="dxa"/>
            <w:bottom w:w="15" w:type="dxa"/>
            <w:right w:w="15" w:type="dxa"/>
          </w:tblCellMar>
        </w:tblPrEx>
        <w:trPr>
          <w:trHeight w:val="23" w:hRule="atLeast"/>
          <w:jc w:val="center"/>
        </w:trPr>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地市</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324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9727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2902.16%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44330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32452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-26.79%</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972</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深圳市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293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6481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2111.95%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22620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20298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-10.27%</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2252</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珠海市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5097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16341.94%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5369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4327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-19.41%</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185</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汕头市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188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2833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1406.91%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3907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8414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115.36%</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356</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佛山市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570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5587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880.18%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8477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13777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62.52%</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390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韶关市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193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3478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1702.07%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7968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11242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41.09%</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588</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河源市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1714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3886.05%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8079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7224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-10.58%</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127</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梅州市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134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3997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2882.84%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9097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8827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-2.97%</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244</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惠州市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5246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5308.25%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8140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8215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0.92%</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404</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汕尾市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378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1652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337.04%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1475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3208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117.49%</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152</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东莞市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311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8064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2492.93%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12709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13012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2.38%</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697</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中山市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2325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3532.81%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7793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9792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25.65%</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165</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江门市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2874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4321.54%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10805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12669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17.25%</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214</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阳江市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1275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1301.10%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4901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5340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8.96%</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162</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湛江市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238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4892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1955.46%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9372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16427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75.28%</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599</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茂名市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7243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10551.47%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13302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14886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11.91%</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308</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肇庆市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4395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7104.92%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8227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8602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4.56%</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489</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清远市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2393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4173.21%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8975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8638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-3.75%</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342</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潮州市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572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728.99%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6612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4420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-33.15%</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75</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揭阳市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198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2430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1127.27%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6868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7661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11.55%</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161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云浮市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1163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1940.35%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4044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4932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21.96%</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133</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省属高校</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中山大学</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621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970.69%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179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2741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1431.28%</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27</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华南理工大学</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597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5870.00%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2662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2462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-7.51%</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12</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暨南大学</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324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4528.57%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3552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1412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-60.25%</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34</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华南农业大学</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656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6460.00%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1940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8334.78%</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188</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南方医科大学</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710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4633.33%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252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1130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348.41%</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8</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广州中医药大学</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424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6966.67%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746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1863.16%</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8</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华南师范大学</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727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8987.50%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897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2216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147.05%</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42</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广东工业大学</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548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2183.33%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2770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13750.00%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66</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广东外语外贸大学</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528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1855.56%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1162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38633.33%</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25</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广东财经大学</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1508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18750.00%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438.89%</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5</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仲恺农业工程学院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1531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6556.52%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2126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8758.33%</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23</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广东药科大学</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1534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21814.29%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246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1657.14%</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星海音乐学院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1275.00%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500.00%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广州美术学院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2966.67%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231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1258.82%</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广州体育学院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120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3900.00%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1377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137600.00%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广东技术师范大学</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177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785.00%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1156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5680.00%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15</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广东金融学院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614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15250.00%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715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4368.75%</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广东警官学院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151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4933.33%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350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4900.00%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广东第二师范学院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446.67%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296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2176.92%</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广州航海学院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726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24100.00%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396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3500.00%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14</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广东培正学院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190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3066.67%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606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6633.33%</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5</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广东白云学院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408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8060.00%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1051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105000.00%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19</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广州商学院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2000.00%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708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3626.32%</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广州工商学院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60.00%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578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4716.67%</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广东工业大学华立学院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210.00%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473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15666.67%</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中山大学新华学院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695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3557.89%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758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7480.00%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15</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中山大学南方学院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380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7500.00%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792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1930.77%</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6</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华南理工大学广州学院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312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6140.00%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1540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6900.00%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242</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华南农业大学珠江学院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266.67%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797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4881.25%</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广东外语外贸大学南国商学院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547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13575.00%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440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5400.00%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广东财经大学华商学院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2275.00%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1289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14222.22%</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7</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广东技术师范大学天河学院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862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43000.00%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255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2733.33%</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广东轻工职业技术学院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1076.47%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834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7481.82%</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6</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广东省外语艺术职业学院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441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10925.00%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233.33%</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7</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广东机电职业技术学院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316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2533.33%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125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1036.36%</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13</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广东工贸职业技术学院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498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8200.00%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103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1187.50%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80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广东建设职业技术学院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258.33%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6566.67%</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广东理工职业学院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325.00%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332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435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31.02%</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广东交通职业技术学院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185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1056.25%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855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28400.00%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广东工程职业技术学院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633.33%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234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3800.00%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广东食品药品职业学院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696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13820.00%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997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2921.21%</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111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广东环境保护工程职业学院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177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4325.00%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555.56%</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广东青年职业学院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2400.00%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128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2033.33%</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私立华联学院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175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17400.00%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217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1256.25%</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广东岭南职业技术学院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428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14166.67%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100.00%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广州康大职业技术学院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-50.00%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-47.69%</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广州涉外经济职业技术学院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409.09%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226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22500.00%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18</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广州南洋理工职业学院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2275.00%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555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617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11.17%</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广州科技职业技术学院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114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2750.00%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229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2762.50%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18</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广州华南商贸职业学院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118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5800.00%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860.00%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339</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广州华立科技职业学院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222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7300.00%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266.67%</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广州现代信息工程职业技术学院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466.67%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681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11250.00%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广州珠江职业技术学院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395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7800.00%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35</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400.00%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广州城建职业学院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388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2884.62%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543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54200.00%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6</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广州华商职业学院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375.00%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314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3040.00%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广州华夏职业学院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2133.33%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1194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19800.00%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广州东华职业学院</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357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11800.00%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783.33%</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省属中学</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广东省实验中学</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1166.67%</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华南师范大学附属中学</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141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42</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-70.21%</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省团工委</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省直机关团工委</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283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3241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1045.23%</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9424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9367</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-0.60%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110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省属企业团工委</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315</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3503</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53</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省社会组织团工委</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13</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省金融团工委</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省有关单位</w:t>
            </w:r>
          </w:p>
        </w:tc>
        <w:tc>
          <w:tcPr>
            <w:tcW w:w="2160" w:type="dxa"/>
            <w:tcBorders>
              <w:top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省地质局</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1500.00%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240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301</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25.42%</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bottom"/>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南航集团</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南方电网</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2160" w:type="dxa"/>
            <w:tcBorders>
              <w:top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中广核集团</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189</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jc w:val="center"/>
              <w:rPr>
                <w:rFonts w:hint="eastAsia" w:ascii="方正仿宋_GBK" w:hAnsi="方正仿宋_GBK" w:eastAsia="方正仿宋_GBK" w:cs="方正仿宋_GBK"/>
                <w:b/>
                <w:color w:val="000000"/>
                <w:sz w:val="15"/>
                <w:szCs w:val="15"/>
              </w:rPr>
            </w:pP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r>
        <w:tblPrEx>
          <w:tblLayout w:type="fixed"/>
          <w:tblCellMar>
            <w:top w:w="15" w:type="dxa"/>
            <w:left w:w="15" w:type="dxa"/>
            <w:bottom w:w="15" w:type="dxa"/>
            <w:right w:w="15" w:type="dxa"/>
          </w:tblCellMar>
        </w:tblPrEx>
        <w:trPr>
          <w:trHeight w:val="23" w:hRule="atLeast"/>
          <w:jc w:val="center"/>
        </w:trPr>
        <w:tc>
          <w:tcPr>
            <w:tcW w:w="2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合  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4298</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107590</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2403.26%</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231719</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278754</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20.30%</w:t>
            </w:r>
          </w:p>
        </w:tc>
        <w:tc>
          <w:tcPr>
            <w:tcW w:w="79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sz w:val="15"/>
                <w:szCs w:val="15"/>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10630</w:t>
            </w:r>
          </w:p>
        </w:tc>
        <w:tc>
          <w:tcPr>
            <w:tcW w:w="801"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p>
        </w:tc>
      </w:tr>
    </w:tbl>
    <w:p>
      <w:pPr>
        <w:jc w:val="left"/>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说明：</w:t>
      </w:r>
    </w:p>
    <w:p>
      <w:pPr>
        <w:jc w:val="left"/>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（一）2017年数据为各级团组织书面逐级上报所得数据（部分团组织当时并未要求上报或仍未成立）</w:t>
      </w:r>
      <w:r>
        <w:rPr>
          <w:rFonts w:hint="eastAsia" w:ascii="方正仿宋_GBK" w:hAnsi="方正仿宋_GBK" w:eastAsia="方正仿宋_GBK" w:cs="方正仿宋_GBK"/>
          <w:sz w:val="24"/>
          <w:lang w:eastAsia="zh-CN"/>
        </w:rPr>
        <w:t>；</w:t>
      </w:r>
      <w:r>
        <w:rPr>
          <w:rFonts w:hint="eastAsia" w:ascii="方正仿宋_GBK" w:hAnsi="方正仿宋_GBK" w:eastAsia="方正仿宋_GBK" w:cs="方正仿宋_GBK"/>
          <w:sz w:val="24"/>
        </w:rPr>
        <w:t>2018年数据为“智慧团建”系统上直接获取所得数据。</w:t>
      </w:r>
    </w:p>
    <w:p>
      <w:pPr>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24"/>
        </w:rPr>
        <w:t>（二）挂职团干部数量去年未要求上报，无法形成对比，但仍与实际情况有较大出入（挂职团干部一般集中在团的领导机关）。</w:t>
      </w:r>
    </w:p>
    <w:p>
      <w:pPr>
        <w:spacing w:line="560" w:lineRule="exact"/>
        <w:jc w:val="left"/>
        <w:rPr>
          <w:rFonts w:ascii="方正仿宋_GBK" w:hAnsi="方正仿宋_GBK" w:eastAsia="方正仿宋_GBK" w:cs="方正仿宋_GBK"/>
          <w:sz w:val="32"/>
          <w:szCs w:val="32"/>
        </w:rPr>
        <w:sectPr>
          <w:pgSz w:w="11906" w:h="16838"/>
          <w:pgMar w:top="2098" w:right="1474" w:bottom="1985" w:left="1588" w:header="851" w:footer="1588" w:gutter="0"/>
          <w:pgNumType w:fmt="numberInDash"/>
          <w:cols w:space="0" w:num="1"/>
          <w:docGrid w:type="lines" w:linePitch="411" w:charSpace="0"/>
        </w:sectPr>
      </w:pPr>
    </w:p>
    <w:p>
      <w:pPr>
        <w:spacing w:line="560" w:lineRule="exact"/>
        <w:jc w:val="left"/>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附件2</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“收入”信息误填（含未及时更新）团员</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情况表</w:t>
      </w:r>
    </w:p>
    <w:p>
      <w:pPr>
        <w:spacing w:line="560" w:lineRule="exact"/>
        <w:jc w:val="center"/>
        <w:rPr>
          <w:rFonts w:ascii="方正小标宋简体" w:hAnsi="方正小标宋简体" w:eastAsia="方正小标宋简体" w:cs="方正小标宋简体"/>
          <w:sz w:val="32"/>
          <w:szCs w:val="32"/>
        </w:rPr>
      </w:pPr>
    </w:p>
    <w:tbl>
      <w:tblPr>
        <w:tblStyle w:val="7"/>
        <w:tblW w:w="9740" w:type="dxa"/>
        <w:jc w:val="center"/>
        <w:tblInd w:w="0" w:type="dxa"/>
        <w:tblLayout w:type="fixed"/>
        <w:tblCellMar>
          <w:top w:w="15" w:type="dxa"/>
          <w:left w:w="15" w:type="dxa"/>
          <w:bottom w:w="15" w:type="dxa"/>
          <w:right w:w="15" w:type="dxa"/>
        </w:tblCellMar>
      </w:tblPr>
      <w:tblGrid>
        <w:gridCol w:w="1454"/>
        <w:gridCol w:w="3804"/>
        <w:gridCol w:w="4482"/>
      </w:tblGrid>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单位</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将收入信息列为“职业为学生无收入”的非学校团员数</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kern w:val="0"/>
                <w:sz w:val="15"/>
                <w:szCs w:val="15"/>
              </w:rPr>
            </w:pPr>
            <w:r>
              <w:rPr>
                <w:rFonts w:hint="eastAsia" w:ascii="方正仿宋_GBK" w:hAnsi="方正仿宋_GBK" w:eastAsia="方正仿宋_GBK" w:cs="方正仿宋_GBK"/>
                <w:b/>
                <w:color w:val="000000"/>
                <w:kern w:val="0"/>
                <w:sz w:val="15"/>
                <w:szCs w:val="15"/>
              </w:rPr>
              <w:t>将收入信息列为“农村户籍且无固定收入”的非农村、社区团员数</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广州市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37914</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2187</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深圳市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23649</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2210</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珠海市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4954</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527</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汕头市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34412</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551</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佛山市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19656</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864</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韶关市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8562</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517</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河源市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7261</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442</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梅州市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12239</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592</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惠州市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14920</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1096</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汕尾市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7174</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539</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东莞市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14575</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1160</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中山市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9448</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676</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江门市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14013</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942</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阳江市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6658</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343</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湛江市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15347</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1042</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茂名市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15660</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1176</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肇庆市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11556</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1159</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清远市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8222</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462</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潮州市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6136</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225</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揭阳市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15544</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564</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云浮市</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5560</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472</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省直机关团工委</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0</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860</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省属企业团工委</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708</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112</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省社会组织团工委</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18</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0</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省金融团工委</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0</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0</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省地质局</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24</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5</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南航集团</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221</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1</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南方电网</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50</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5</w:t>
            </w:r>
          </w:p>
        </w:tc>
      </w:tr>
      <w:tr>
        <w:tblPrEx>
          <w:tblLayout w:type="fixed"/>
          <w:tblCellMar>
            <w:top w:w="15" w:type="dxa"/>
            <w:left w:w="15" w:type="dxa"/>
            <w:bottom w:w="15" w:type="dxa"/>
            <w:right w:w="15" w:type="dxa"/>
          </w:tblCellMar>
        </w:tblPrEx>
        <w:trPr>
          <w:trHeight w:val="23" w:hRule="atLeast"/>
          <w:jc w:val="center"/>
        </w:trPr>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b/>
                <w:color w:val="000000"/>
                <w:sz w:val="15"/>
                <w:szCs w:val="15"/>
              </w:rPr>
            </w:pPr>
            <w:r>
              <w:rPr>
                <w:rFonts w:hint="eastAsia" w:ascii="方正仿宋_GBK" w:hAnsi="方正仿宋_GBK" w:eastAsia="方正仿宋_GBK" w:cs="方正仿宋_GBK"/>
                <w:b/>
                <w:color w:val="000000"/>
                <w:kern w:val="0"/>
                <w:sz w:val="15"/>
                <w:szCs w:val="15"/>
              </w:rPr>
              <w:t>中广核集团</w:t>
            </w:r>
          </w:p>
        </w:tc>
        <w:tc>
          <w:tcPr>
            <w:tcW w:w="38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kern w:val="0"/>
                <w:sz w:val="15"/>
                <w:szCs w:val="15"/>
              </w:rPr>
              <w:t>2</w:t>
            </w:r>
          </w:p>
        </w:tc>
        <w:tc>
          <w:tcPr>
            <w:tcW w:w="44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方正仿宋_GBK" w:hAnsi="方正仿宋_GBK" w:eastAsia="方正仿宋_GBK" w:cs="方正仿宋_GBK"/>
                <w:color w:val="000000"/>
                <w:kern w:val="0"/>
                <w:sz w:val="15"/>
                <w:szCs w:val="15"/>
              </w:rPr>
            </w:pPr>
            <w:r>
              <w:rPr>
                <w:rFonts w:hint="eastAsia" w:ascii="方正仿宋_GBK" w:hAnsi="方正仿宋_GBK" w:eastAsia="方正仿宋_GBK" w:cs="方正仿宋_GBK"/>
                <w:color w:val="000000"/>
                <w:kern w:val="0"/>
                <w:sz w:val="15"/>
                <w:szCs w:val="15"/>
              </w:rPr>
              <w:t>0</w:t>
            </w: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方正黑体_GBK" w:hAnsi="方正黑体_GBK" w:eastAsia="方正黑体_GBK" w:cs="方正黑体_GBK"/>
          <w:sz w:val="32"/>
          <w:szCs w:val="32"/>
          <w:lang w:val="en-US" w:eastAsia="zh-CN"/>
        </w:rPr>
        <w:sectPr>
          <w:pgSz w:w="11906" w:h="16838"/>
          <w:pgMar w:top="2098" w:right="1474" w:bottom="1985" w:left="1588" w:header="851" w:footer="1588" w:gutter="0"/>
          <w:pgBorders>
            <w:top w:val="none" w:sz="0" w:space="0"/>
            <w:left w:val="none" w:sz="0" w:space="0"/>
            <w:bottom w:val="none" w:sz="0" w:space="0"/>
            <w:right w:val="none" w:sz="0" w:space="0"/>
          </w:pgBorders>
          <w:pgNumType w:fmt="numberInDash"/>
          <w:cols w:space="0" w:num="1"/>
          <w:docGrid w:type="lines" w:linePitch="411" w:charSpace="0"/>
        </w:sect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附件3</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880" w:firstLineChars="20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团组织名称规范说明</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黑体_GBK" w:hAnsi="方正黑体_GBK" w:eastAsia="方正黑体_GBK" w:cs="方正黑体_GBK"/>
          <w:b w:val="0"/>
          <w:bCs w:val="0"/>
          <w:color w:val="000000"/>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黑体_GBK" w:hAnsi="方正黑体_GBK" w:eastAsia="方正黑体_GBK" w:cs="方正黑体_GBK"/>
          <w:b w:val="0"/>
          <w:bCs w:val="0"/>
          <w:color w:val="000000"/>
          <w:kern w:val="0"/>
          <w:sz w:val="32"/>
          <w:szCs w:val="32"/>
        </w:rPr>
      </w:pPr>
      <w:r>
        <w:rPr>
          <w:rFonts w:hint="eastAsia" w:ascii="方正黑体_GBK" w:hAnsi="方正黑体_GBK" w:eastAsia="方正黑体_GBK" w:cs="方正黑体_GBK"/>
          <w:b w:val="0"/>
          <w:bCs w:val="0"/>
          <w:color w:val="000000"/>
          <w:kern w:val="0"/>
          <w:sz w:val="32"/>
          <w:szCs w:val="32"/>
          <w:lang w:eastAsia="zh-CN"/>
        </w:rPr>
        <w:t>一、</w:t>
      </w:r>
      <w:r>
        <w:rPr>
          <w:rFonts w:hint="eastAsia" w:ascii="方正黑体_GBK" w:hAnsi="方正黑体_GBK" w:eastAsia="方正黑体_GBK" w:cs="方正黑体_GBK"/>
          <w:b w:val="0"/>
          <w:bCs w:val="0"/>
          <w:color w:val="000000"/>
          <w:kern w:val="0"/>
          <w:sz w:val="32"/>
          <w:szCs w:val="32"/>
        </w:rPr>
        <w:t>简称填写</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楷体_GBK" w:hAnsi="方正楷体_GBK" w:eastAsia="方正楷体_GBK" w:cs="方正楷体_GBK"/>
          <w:color w:val="000000"/>
          <w:kern w:val="0"/>
          <w:sz w:val="32"/>
          <w:szCs w:val="32"/>
        </w:rPr>
      </w:pPr>
      <w:r>
        <w:rPr>
          <w:rFonts w:hint="eastAsia" w:ascii="方正楷体_GBK" w:hAnsi="方正楷体_GBK" w:eastAsia="方正楷体_GBK" w:cs="方正楷体_GBK"/>
          <w:color w:val="000000"/>
          <w:kern w:val="0"/>
          <w:sz w:val="32"/>
          <w:szCs w:val="32"/>
        </w:rPr>
        <w:t>（一）填写原则</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b/>
          <w:bCs/>
          <w:color w:val="000000"/>
          <w:kern w:val="0"/>
          <w:sz w:val="32"/>
          <w:szCs w:val="32"/>
        </w:rPr>
        <w:t>1.所在地域要从市级行政区划写起，一直写到组织所在层级的行政区划，</w:t>
      </w:r>
      <w:r>
        <w:rPr>
          <w:rFonts w:hint="eastAsia" w:ascii="方正仿宋_GBK" w:hAnsi="方正仿宋_GBK" w:eastAsia="方正仿宋_GBK" w:cs="方正仿宋_GBK"/>
          <w:color w:val="000000"/>
          <w:kern w:val="0"/>
          <w:sz w:val="32"/>
          <w:szCs w:val="32"/>
        </w:rPr>
        <w:t>基本的格式为“地级市+市辖区、县级市、县名称+乡镇、街道名称+村、社区名称+团组织名称）”。其中，如果所在地区为县级市，则不用写地市级行政单位名称；如果单位是省属单位、中央企业或者高等院校，不用填写所在地域名称，直接写单位名称，其他各类单位的所在区域名称要写到对应的层级。企业直接写单位名称</w:t>
      </w:r>
      <w:r>
        <w:rPr>
          <w:rFonts w:hint="eastAsia" w:ascii="方正仿宋_GBK" w:hAnsi="方正仿宋_GBK" w:eastAsia="方正仿宋_GBK" w:cs="方正仿宋_GBK"/>
          <w:color w:val="000000"/>
          <w:kern w:val="0"/>
          <w:sz w:val="32"/>
          <w:szCs w:val="32"/>
          <w:lang w:eastAsia="zh-CN"/>
        </w:rPr>
        <w:t>（以工商登记注册的名称为准）</w:t>
      </w:r>
      <w:r>
        <w:rPr>
          <w:rFonts w:hint="eastAsia" w:ascii="方正仿宋_GBK" w:hAnsi="方正仿宋_GBK" w:eastAsia="方正仿宋_GBK" w:cs="方正仿宋_GBK"/>
          <w:color w:val="000000"/>
          <w:kern w:val="0"/>
          <w:sz w:val="32"/>
          <w:szCs w:val="32"/>
        </w:rPr>
        <w:t>，县级中学要冠以所在地市和县区的名称</w:t>
      </w:r>
      <w:r>
        <w:rPr>
          <w:rFonts w:hint="eastAsia" w:ascii="方正仿宋_GBK" w:hAnsi="方正仿宋_GBK" w:eastAsia="方正仿宋_GBK" w:cs="方正仿宋_GBK"/>
          <w:color w:val="000000"/>
          <w:kern w:val="0"/>
          <w:sz w:val="32"/>
          <w:szCs w:val="32"/>
          <w:lang w:eastAsia="zh-CN"/>
        </w:rPr>
        <w:t>，</w:t>
      </w:r>
      <w:r>
        <w:rPr>
          <w:rFonts w:hint="eastAsia" w:ascii="方正仿宋_GBK" w:hAnsi="方正仿宋_GBK" w:eastAsia="方正仿宋_GBK" w:cs="方正仿宋_GBK"/>
          <w:b/>
          <w:bCs/>
          <w:color w:val="000000"/>
          <w:kern w:val="0"/>
          <w:sz w:val="32"/>
          <w:szCs w:val="32"/>
          <w:lang w:eastAsia="zh-CN"/>
        </w:rPr>
        <w:t>学校班级团支部名称须含入学年份</w:t>
      </w:r>
      <w:r>
        <w:rPr>
          <w:rFonts w:hint="eastAsia" w:ascii="方正仿宋_GBK" w:hAnsi="方正仿宋_GBK" w:eastAsia="方正仿宋_GBK" w:cs="方正仿宋_GBK"/>
          <w:color w:val="000000"/>
          <w:kern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例：</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深圳市福田区福田街道团工委；</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佛山市南海区丹灶镇金宁社区团总支；</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惠州市惠东县青年企业家联合会团支部；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清远市连南县职业技术学校</w:t>
      </w:r>
      <w:r>
        <w:rPr>
          <w:rFonts w:hint="eastAsia" w:ascii="Times New Roman" w:hAnsi="Times New Roman" w:eastAsia="方正仿宋_GBK" w:cs="方正仿宋_GBK"/>
          <w:color w:val="000000"/>
          <w:kern w:val="0"/>
          <w:sz w:val="32"/>
          <w:szCs w:val="32"/>
        </w:rPr>
        <w:t>15</w:t>
      </w:r>
      <w:r>
        <w:rPr>
          <w:rFonts w:hint="eastAsia" w:ascii="方正仿宋_GBK" w:hAnsi="方正仿宋_GBK" w:eastAsia="方正仿宋_GBK" w:cs="方正仿宋_GBK"/>
          <w:color w:val="000000"/>
          <w:kern w:val="0"/>
          <w:sz w:val="32"/>
          <w:szCs w:val="32"/>
        </w:rPr>
        <w:t>春学前教育</w:t>
      </w:r>
      <w:r>
        <w:rPr>
          <w:rFonts w:hint="eastAsia" w:ascii="Times New Roman" w:hAnsi="Times New Roman" w:eastAsia="方正仿宋_GBK" w:cs="方正仿宋_GBK"/>
          <w:color w:val="000000"/>
          <w:kern w:val="0"/>
          <w:sz w:val="32"/>
          <w:szCs w:val="32"/>
        </w:rPr>
        <w:t>2</w:t>
      </w:r>
      <w:r>
        <w:rPr>
          <w:rFonts w:hint="eastAsia" w:ascii="方正仿宋_GBK" w:hAnsi="方正仿宋_GBK" w:eastAsia="方正仿宋_GBK" w:cs="方正仿宋_GBK"/>
          <w:color w:val="000000"/>
          <w:kern w:val="0"/>
          <w:sz w:val="32"/>
          <w:szCs w:val="32"/>
        </w:rPr>
        <w:t>班团支部；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kern w:val="0"/>
          <w:sz w:val="32"/>
          <w:szCs w:val="32"/>
        </w:rPr>
        <w:t>揭阳市空港经济区</w:t>
      </w:r>
      <w:r>
        <w:rPr>
          <w:rFonts w:hint="eastAsia" w:ascii="方正仿宋_GBK" w:hAnsi="方正仿宋_GBK" w:eastAsia="方正仿宋_GBK" w:cs="方正仿宋_GBK"/>
          <w:color w:val="000000"/>
          <w:kern w:val="0"/>
          <w:sz w:val="32"/>
          <w:szCs w:val="32"/>
        </w:rPr>
        <w:t>登岗中学金钟青年志愿者服务队团支部；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高州市广播电视台团支部；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广东实验中学</w:t>
      </w:r>
      <w:r>
        <w:rPr>
          <w:rFonts w:hint="eastAsia" w:ascii="Times New Roman" w:hAnsi="Times New Roman" w:eastAsia="方正仿宋_GBK" w:cs="方正仿宋_GBK"/>
          <w:color w:val="000000"/>
          <w:kern w:val="0"/>
          <w:sz w:val="32"/>
          <w:szCs w:val="32"/>
          <w:lang w:val="en-US" w:eastAsia="zh-CN"/>
        </w:rPr>
        <w:t>2017</w:t>
      </w:r>
      <w:r>
        <w:rPr>
          <w:rFonts w:hint="eastAsia" w:ascii="方正仿宋_GBK" w:hAnsi="方正仿宋_GBK" w:eastAsia="方正仿宋_GBK" w:cs="方正仿宋_GBK"/>
          <w:color w:val="000000"/>
          <w:kern w:val="0"/>
          <w:sz w:val="32"/>
          <w:szCs w:val="32"/>
          <w:lang w:val="en-US" w:eastAsia="zh-CN"/>
        </w:rPr>
        <w:t>级</w:t>
      </w:r>
      <w:r>
        <w:rPr>
          <w:rFonts w:hint="eastAsia" w:ascii="Times New Roman" w:hAnsi="Times New Roman" w:eastAsia="方正仿宋_GBK" w:cs="方正仿宋_GBK"/>
          <w:color w:val="000000"/>
          <w:kern w:val="0"/>
          <w:sz w:val="32"/>
          <w:szCs w:val="32"/>
        </w:rPr>
        <w:t>18</w:t>
      </w:r>
      <w:r>
        <w:rPr>
          <w:rFonts w:hint="eastAsia" w:ascii="方正仿宋_GBK" w:hAnsi="方正仿宋_GBK" w:eastAsia="方正仿宋_GBK" w:cs="方正仿宋_GBK"/>
          <w:color w:val="000000"/>
          <w:kern w:val="0"/>
          <w:sz w:val="32"/>
          <w:szCs w:val="32"/>
        </w:rPr>
        <w:t>班团支部；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湛江市坡头区龙头中学团委；</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东莞市南城中学教工团支部；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南方医科大学南方医院感染内科团总支；</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华南理工大学广州学院计算机工程学院2015级软件工程专业第三团支部。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方正仿宋_GBK" w:hAnsi="方正仿宋_GBK" w:eastAsia="方正仿宋_GBK" w:cs="方正仿宋_GBK"/>
          <w:b/>
          <w:bCs/>
          <w:color w:val="000000"/>
          <w:kern w:val="0"/>
          <w:sz w:val="32"/>
          <w:szCs w:val="32"/>
        </w:rPr>
      </w:pPr>
      <w:r>
        <w:rPr>
          <w:rFonts w:hint="eastAsia" w:ascii="方正仿宋_GBK" w:hAnsi="方正仿宋_GBK" w:eastAsia="方正仿宋_GBK" w:cs="方正仿宋_GBK"/>
          <w:b/>
          <w:bCs/>
          <w:color w:val="000000"/>
          <w:kern w:val="0"/>
          <w:sz w:val="32"/>
          <w:szCs w:val="32"/>
        </w:rPr>
        <w:t>2.所有行政区划名称和单位名称都要用规范全称。</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例：</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中山市火炬高技术产业开发区团委；</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中山市南头镇团委。</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firstLineChars="200"/>
        <w:jc w:val="left"/>
        <w:textAlignment w:val="auto"/>
        <w:outlineLvl w:val="9"/>
        <w:rPr>
          <w:rFonts w:hint="eastAsia" w:ascii="方正仿宋_GBK" w:hAnsi="方正仿宋_GBK" w:eastAsia="方正仿宋_GBK" w:cs="方正仿宋_GBK"/>
          <w:b/>
          <w:bCs/>
          <w:color w:val="000000"/>
          <w:kern w:val="0"/>
          <w:sz w:val="32"/>
          <w:szCs w:val="32"/>
        </w:rPr>
      </w:pPr>
      <w:r>
        <w:rPr>
          <w:rFonts w:hint="eastAsia" w:ascii="方正仿宋_GBK" w:hAnsi="方正仿宋_GBK" w:eastAsia="方正仿宋_GBK" w:cs="方正仿宋_GBK"/>
          <w:b/>
          <w:bCs/>
          <w:color w:val="000000"/>
          <w:kern w:val="0"/>
          <w:sz w:val="32"/>
          <w:szCs w:val="32"/>
        </w:rPr>
        <w:t>3.</w:t>
      </w:r>
      <w:r>
        <w:rPr>
          <w:rFonts w:hint="eastAsia" w:ascii="方正仿宋_GBK" w:hAnsi="方正仿宋_GBK" w:eastAsia="方正仿宋_GBK" w:cs="方正仿宋_GBK"/>
          <w:b/>
          <w:bCs/>
          <w:color w:val="000000"/>
          <w:kern w:val="0"/>
          <w:sz w:val="32"/>
          <w:szCs w:val="32"/>
          <w:lang w:eastAsia="zh-CN"/>
        </w:rPr>
        <w:t>本</w:t>
      </w:r>
      <w:r>
        <w:rPr>
          <w:rFonts w:hint="eastAsia" w:ascii="方正仿宋_GBK" w:hAnsi="方正仿宋_GBK" w:eastAsia="方正仿宋_GBK" w:cs="方正仿宋_GBK"/>
          <w:b/>
          <w:bCs/>
          <w:color w:val="000000"/>
          <w:kern w:val="0"/>
          <w:sz w:val="32"/>
          <w:szCs w:val="32"/>
        </w:rPr>
        <w:t>单位有多个层级的，要从最高层级的名称写起，直到团组织名称。</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例：</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深圳市地铁集团有限公司运营管理办公室一号线执法大队团支部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楷体_GBK" w:hAnsi="方正楷体_GBK" w:eastAsia="方正楷体_GBK" w:cs="方正楷体_GBK"/>
          <w:color w:val="000000"/>
          <w:kern w:val="0"/>
          <w:sz w:val="32"/>
          <w:szCs w:val="32"/>
        </w:rPr>
      </w:pPr>
      <w:r>
        <w:rPr>
          <w:rFonts w:hint="eastAsia" w:ascii="方正楷体_GBK" w:hAnsi="方正楷体_GBK" w:eastAsia="方正楷体_GBK" w:cs="方正楷体_GBK"/>
          <w:color w:val="000000"/>
          <w:kern w:val="0"/>
          <w:sz w:val="32"/>
          <w:szCs w:val="32"/>
        </w:rPr>
        <w:t>（二）填写格式范例</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1.一般情况：××市××区××街道团委。</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2.普通高校：高校全称+院系+专业+班级，如：××大学××院系××专业</w:t>
      </w:r>
      <w:r>
        <w:rPr>
          <w:rFonts w:hint="eastAsia" w:ascii="方正仿宋_GBK" w:hAnsi="方正仿宋_GBK" w:eastAsia="方正仿宋_GBK" w:cs="方正仿宋_GBK"/>
          <w:color w:val="000000"/>
          <w:kern w:val="0"/>
          <w:sz w:val="32"/>
          <w:szCs w:val="32"/>
          <w:lang w:val="en-US" w:eastAsia="zh-CN"/>
        </w:rPr>
        <w:t>+入学年份</w:t>
      </w:r>
      <w:r>
        <w:rPr>
          <w:rFonts w:hint="eastAsia" w:ascii="方正仿宋_GBK" w:hAnsi="方正仿宋_GBK" w:eastAsia="方正仿宋_GBK" w:cs="方正仿宋_GBK"/>
          <w:color w:val="000000"/>
          <w:kern w:val="0"/>
          <w:sz w:val="32"/>
          <w:szCs w:val="32"/>
        </w:rPr>
        <w:t>××班团支部。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3.普通中学：所属行政区划名称+学校名称+班级名称+团组织名称，如：××市××区××中学团委。</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4.中职职业学校：地市+学校全称+专业+班级，如××市××职业学校××专业</w:t>
      </w:r>
      <w:r>
        <w:rPr>
          <w:rFonts w:hint="eastAsia" w:ascii="方正仿宋_GBK" w:hAnsi="方正仿宋_GBK" w:eastAsia="方正仿宋_GBK" w:cs="方正仿宋_GBK"/>
          <w:color w:val="000000"/>
          <w:kern w:val="0"/>
          <w:sz w:val="32"/>
          <w:szCs w:val="32"/>
          <w:lang w:val="en-US" w:eastAsia="zh-CN"/>
        </w:rPr>
        <w:t>+入学年份</w:t>
      </w:r>
      <w:r>
        <w:rPr>
          <w:rFonts w:hint="eastAsia" w:ascii="方正仿宋_GBK" w:hAnsi="方正仿宋_GBK" w:eastAsia="方正仿宋_GBK" w:cs="方正仿宋_GBK"/>
          <w:color w:val="000000"/>
          <w:kern w:val="0"/>
          <w:sz w:val="32"/>
          <w:szCs w:val="32"/>
        </w:rPr>
        <w:t>××班团支部。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5.中央企业：××集团公司××有限责任公司××分公司团委。</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6.地方企业及非公企业：所属行政区域名称+××集团公司××有限责任公司××分公司团支部。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黑体_GBK" w:hAnsi="方正黑体_GBK" w:eastAsia="方正黑体_GBK" w:cs="方正黑体_GBK"/>
          <w:b w:val="0"/>
          <w:bCs w:val="0"/>
          <w:color w:val="000000"/>
          <w:kern w:val="0"/>
          <w:sz w:val="32"/>
          <w:szCs w:val="32"/>
          <w:lang w:eastAsia="zh-CN"/>
        </w:rPr>
      </w:pPr>
      <w:r>
        <w:rPr>
          <w:rFonts w:hint="eastAsia" w:ascii="方正黑体_GBK" w:hAnsi="方正黑体_GBK" w:eastAsia="方正黑体_GBK" w:cs="方正黑体_GBK"/>
          <w:b w:val="0"/>
          <w:bCs w:val="0"/>
          <w:color w:val="000000"/>
          <w:kern w:val="0"/>
          <w:sz w:val="32"/>
          <w:szCs w:val="32"/>
          <w:lang w:eastAsia="zh-CN"/>
        </w:rPr>
        <w:t>二、全称填写</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填写原则与简称一致，基本格式为：</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中国共产主义青年团+地域+单位全称+委员会</w:t>
      </w:r>
      <w:r>
        <w:rPr>
          <w:rFonts w:hint="eastAsia" w:ascii="方正仿宋_GBK" w:hAnsi="方正仿宋_GBK" w:eastAsia="方正仿宋_GBK" w:cs="方正仿宋_GBK"/>
          <w:color w:val="000000"/>
          <w:kern w:val="0"/>
          <w:sz w:val="32"/>
          <w:szCs w:val="32"/>
          <w:lang w:eastAsia="zh-CN"/>
        </w:rPr>
        <w:t>（总支部委员会或支部委员会）</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color w:val="000000"/>
          <w:kern w:val="0"/>
          <w:sz w:val="32"/>
          <w:szCs w:val="32"/>
        </w:rPr>
        <w:t>如单位全称结尾即为委员会，可在单位全称后添加系统委员会，用以区分整个系统跟本单位机关的团组织。</w:t>
      </w:r>
      <w:r>
        <w:rPr>
          <w:rFonts w:hint="eastAsia" w:ascii="方正仿宋_GBK" w:hAnsi="方正仿宋_GBK" w:eastAsia="方正仿宋_GBK" w:cs="方正仿宋_GBK"/>
          <w:kern w:val="0"/>
          <w:sz w:val="32"/>
          <w:szCs w:val="32"/>
        </w:rPr>
        <w:t>单位全称中已包含地域名称的，全称中可省略地域。</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例：“广东省</w:t>
      </w:r>
      <w:r>
        <w:rPr>
          <w:rFonts w:hint="eastAsia" w:ascii="方正仿宋_GBK" w:hAnsi="方正仿宋_GBK" w:eastAsia="方正仿宋_GBK" w:cs="方正仿宋_GBK"/>
          <w:kern w:val="0"/>
          <w:sz w:val="32"/>
          <w:szCs w:val="32"/>
          <w:lang w:eastAsia="zh-CN"/>
        </w:rPr>
        <w:t>卫生和计划生育</w:t>
      </w:r>
      <w:r>
        <w:rPr>
          <w:rFonts w:hint="eastAsia" w:ascii="方正仿宋_GBK" w:hAnsi="方正仿宋_GBK" w:eastAsia="方正仿宋_GBK" w:cs="方正仿宋_GBK"/>
          <w:kern w:val="0"/>
          <w:sz w:val="32"/>
          <w:szCs w:val="32"/>
        </w:rPr>
        <w:t>委员会”名称表述为“中国共产主义青年团广东省</w:t>
      </w:r>
      <w:r>
        <w:rPr>
          <w:rFonts w:hint="eastAsia" w:ascii="方正仿宋_GBK" w:hAnsi="方正仿宋_GBK" w:eastAsia="方正仿宋_GBK" w:cs="方正仿宋_GBK"/>
          <w:kern w:val="0"/>
          <w:sz w:val="32"/>
          <w:szCs w:val="32"/>
          <w:lang w:eastAsia="zh-CN"/>
        </w:rPr>
        <w:t>卫生和计划生育</w:t>
      </w:r>
      <w:r>
        <w:rPr>
          <w:rFonts w:hint="eastAsia" w:ascii="方正仿宋_GBK" w:hAnsi="方正仿宋_GBK" w:eastAsia="方正仿宋_GBK" w:cs="方正仿宋_GBK"/>
          <w:kern w:val="0"/>
          <w:sz w:val="32"/>
          <w:szCs w:val="32"/>
        </w:rPr>
        <w:t>委员会系统委员会”。</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黑体_GBK" w:hAnsi="方正黑体_GBK" w:eastAsia="方正黑体_GBK" w:cs="方正黑体_GBK"/>
          <w:b w:val="0"/>
          <w:bCs w:val="0"/>
          <w:color w:val="000000"/>
          <w:kern w:val="0"/>
          <w:sz w:val="32"/>
          <w:szCs w:val="32"/>
          <w:lang w:eastAsia="zh-CN"/>
        </w:rPr>
      </w:pPr>
      <w:r>
        <w:rPr>
          <w:rFonts w:hint="eastAsia" w:ascii="方正黑体_GBK" w:hAnsi="方正黑体_GBK" w:eastAsia="方正黑体_GBK" w:cs="方正黑体_GBK"/>
          <w:b w:val="0"/>
          <w:bCs w:val="0"/>
          <w:color w:val="000000"/>
          <w:kern w:val="0"/>
          <w:sz w:val="32"/>
          <w:szCs w:val="32"/>
          <w:lang w:eastAsia="zh-CN"/>
        </w:rPr>
        <w:t>三、代称填写</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eastAsia="zh-CN"/>
        </w:rPr>
      </w:pPr>
      <w:r>
        <w:rPr>
          <w:rFonts w:hint="eastAsia" w:ascii="方正仿宋_GBK" w:hAnsi="方正仿宋_GBK" w:eastAsia="方正仿宋_GBK" w:cs="方正仿宋_GBK"/>
          <w:color w:val="000000"/>
          <w:kern w:val="0"/>
          <w:sz w:val="32"/>
          <w:szCs w:val="32"/>
          <w:lang w:eastAsia="zh-CN"/>
        </w:rPr>
        <w:t>微信企业号代称填写规则：直接使用本级单位/区划命名，无需包含组织层级(因微信限制，长度不能超过16字且不可有\:?”&lt;&gt;｜等特殊字符）。具体如下：</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eastAsia="zh-CN"/>
        </w:rPr>
      </w:pPr>
      <w:r>
        <w:rPr>
          <w:rFonts w:hint="eastAsia" w:ascii="方正仿宋_GBK" w:hAnsi="方正仿宋_GBK" w:eastAsia="方正仿宋_GBK" w:cs="方正仿宋_GBK"/>
          <w:color w:val="000000"/>
          <w:kern w:val="0"/>
          <w:sz w:val="32"/>
          <w:szCs w:val="32"/>
          <w:lang w:eastAsia="zh-CN"/>
        </w:rPr>
        <w:t>1.团的领导机关（即省、市、县三级团委）代称为“团+行政区划名称+委”，如：团广州市委、团天河区委，等。</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eastAsia="zh-CN"/>
        </w:rPr>
      </w:pPr>
      <w:r>
        <w:rPr>
          <w:rFonts w:hint="eastAsia" w:ascii="方正仿宋_GBK" w:hAnsi="方正仿宋_GBK" w:eastAsia="方正仿宋_GBK" w:cs="方正仿宋_GBK"/>
          <w:color w:val="000000"/>
          <w:kern w:val="0"/>
          <w:sz w:val="32"/>
          <w:szCs w:val="32"/>
          <w:lang w:eastAsia="zh-CN"/>
        </w:rPr>
        <w:t>2.基层团组织（即非团的领导机关的其他团组织，不含团工委）代称为“单位/本级行政区划名称+团委/团总支/团支部”，如：新河浦社区团团支部、娃哈哈集团团委、中山大学团委等。</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eastAsia="zh-CN"/>
        </w:rPr>
      </w:pPr>
      <w:r>
        <w:rPr>
          <w:rFonts w:hint="eastAsia" w:ascii="方正仿宋_GBK" w:hAnsi="方正仿宋_GBK" w:eastAsia="方正仿宋_GBK" w:cs="方正仿宋_GBK"/>
          <w:color w:val="000000"/>
          <w:kern w:val="0"/>
          <w:sz w:val="32"/>
          <w:szCs w:val="32"/>
          <w:lang w:eastAsia="zh-CN"/>
        </w:rPr>
        <w:t>3.学校的班级团支部代称为“（专业）入学年份+班号+团支部”，如：新闻学专业本科2017级三班团支部；此外，中学的班级团支部不需要填写专业名称，如：初中2015级二班团支部。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color w:val="000000"/>
          <w:kern w:val="0"/>
          <w:sz w:val="32"/>
          <w:szCs w:val="32"/>
          <w:lang w:eastAsia="zh-CN"/>
        </w:rPr>
        <w:t>4.团工委的代称一般为“单位名称+团工委”，例如：广东省直机关团工委、珠海市司法局团工委、南沙街道团工委。如有其他情况，根据实际，由该团工委商直接上级团组织决定，例如：湖南省驻粤团工委等。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方正仿宋_GBK" w:hAnsi="方正仿宋_GBK" w:eastAsia="方正仿宋_GBK" w:cs="方正仿宋_GBK"/>
          <w:sz w:val="32"/>
          <w:szCs w:val="32"/>
          <w:lang w:val="en-US" w:eastAsia="zh-CN"/>
        </w:rPr>
        <w:sectPr>
          <w:pgSz w:w="11906" w:h="16838"/>
          <w:pgMar w:top="2098" w:right="1474" w:bottom="1985" w:left="1588" w:header="851" w:footer="1588" w:gutter="0"/>
          <w:pgBorders>
            <w:top w:val="none" w:sz="0" w:space="0"/>
            <w:left w:val="none" w:sz="0" w:space="0"/>
            <w:bottom w:val="none" w:sz="0" w:space="0"/>
            <w:right w:val="none" w:sz="0" w:space="0"/>
          </w:pgBorders>
          <w:pgNumType w:fmt="numberInDash"/>
          <w:cols w:space="0" w:num="1"/>
          <w:docGrid w:type="lines" w:linePitch="411" w:charSpace="0"/>
        </w:sectPr>
      </w:pPr>
    </w:p>
    <w:p>
      <w:pPr>
        <w:spacing w:line="560" w:lineRule="exact"/>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附件</w:t>
      </w:r>
      <w:r>
        <w:rPr>
          <w:rFonts w:hint="eastAsia" w:ascii="方正黑体_GBK" w:hAnsi="方正黑体_GBK" w:eastAsia="方正黑体_GBK" w:cs="方正黑体_GBK"/>
          <w:sz w:val="32"/>
          <w:szCs w:val="32"/>
          <w:lang w:val="en-US" w:eastAsia="zh-CN"/>
        </w:rPr>
        <w:t>4</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“智慧团建”信息数据核准汇总表</w:t>
      </w:r>
    </w:p>
    <w:p>
      <w:pPr>
        <w:spacing w:line="56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填报单位：（盖章）                                    填报时间：           </w:t>
      </w:r>
    </w:p>
    <w:tbl>
      <w:tblPr>
        <w:tblStyle w:val="8"/>
        <w:tblW w:w="106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4200"/>
        <w:gridCol w:w="2919"/>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2048" w:type="dxa"/>
            <w:vAlign w:val="center"/>
          </w:tcPr>
          <w:p>
            <w:pPr>
              <w:spacing w:line="560" w:lineRule="exact"/>
              <w:jc w:val="center"/>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核查类型</w:t>
            </w:r>
          </w:p>
        </w:tc>
        <w:tc>
          <w:tcPr>
            <w:tcW w:w="8572" w:type="dxa"/>
            <w:gridSpan w:val="3"/>
            <w:vAlign w:val="center"/>
          </w:tcPr>
          <w:p>
            <w:pPr>
              <w:spacing w:line="560" w:lineRule="exact"/>
              <w:jc w:val="center"/>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核查情况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2048" w:type="dxa"/>
            <w:vMerge w:val="restart"/>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团干部资料信息</w:t>
            </w:r>
          </w:p>
        </w:tc>
        <w:tc>
          <w:tcPr>
            <w:tcW w:w="4200" w:type="dxa"/>
            <w:vMerge w:val="restart"/>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经核准后的团干部数量</w:t>
            </w:r>
          </w:p>
        </w:tc>
        <w:tc>
          <w:tcPr>
            <w:tcW w:w="2919" w:type="dxa"/>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专职</w:t>
            </w:r>
          </w:p>
        </w:tc>
        <w:tc>
          <w:tcPr>
            <w:tcW w:w="1453" w:type="dxa"/>
            <w:vAlign w:val="center"/>
          </w:tcPr>
          <w:p>
            <w:pPr>
              <w:spacing w:line="56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2048" w:type="dxa"/>
            <w:vMerge w:val="continue"/>
            <w:vAlign w:val="center"/>
          </w:tcPr>
          <w:p>
            <w:pPr>
              <w:spacing w:line="560" w:lineRule="exact"/>
              <w:jc w:val="center"/>
              <w:rPr>
                <w:rFonts w:ascii="方正仿宋_GBK" w:hAnsi="方正仿宋_GBK" w:eastAsia="方正仿宋_GBK" w:cs="方正仿宋_GBK"/>
                <w:sz w:val="24"/>
              </w:rPr>
            </w:pPr>
          </w:p>
        </w:tc>
        <w:tc>
          <w:tcPr>
            <w:tcW w:w="4200" w:type="dxa"/>
            <w:vMerge w:val="continue"/>
            <w:vAlign w:val="center"/>
          </w:tcPr>
          <w:p>
            <w:pPr>
              <w:spacing w:line="560" w:lineRule="exact"/>
              <w:jc w:val="center"/>
              <w:rPr>
                <w:rFonts w:ascii="方正仿宋_GBK" w:hAnsi="方正仿宋_GBK" w:eastAsia="方正仿宋_GBK" w:cs="方正仿宋_GBK"/>
                <w:sz w:val="24"/>
              </w:rPr>
            </w:pPr>
          </w:p>
        </w:tc>
        <w:tc>
          <w:tcPr>
            <w:tcW w:w="2919" w:type="dxa"/>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兼职</w:t>
            </w:r>
          </w:p>
        </w:tc>
        <w:tc>
          <w:tcPr>
            <w:tcW w:w="1453" w:type="dxa"/>
            <w:vAlign w:val="center"/>
          </w:tcPr>
          <w:p>
            <w:pPr>
              <w:spacing w:line="56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2048" w:type="dxa"/>
            <w:vMerge w:val="continue"/>
            <w:vAlign w:val="center"/>
          </w:tcPr>
          <w:p>
            <w:pPr>
              <w:spacing w:line="560" w:lineRule="exact"/>
              <w:jc w:val="center"/>
              <w:rPr>
                <w:rFonts w:ascii="方正仿宋_GBK" w:hAnsi="方正仿宋_GBK" w:eastAsia="方正仿宋_GBK" w:cs="方正仿宋_GBK"/>
                <w:sz w:val="24"/>
              </w:rPr>
            </w:pPr>
          </w:p>
        </w:tc>
        <w:tc>
          <w:tcPr>
            <w:tcW w:w="4200" w:type="dxa"/>
            <w:vMerge w:val="continue"/>
            <w:vAlign w:val="center"/>
          </w:tcPr>
          <w:p>
            <w:pPr>
              <w:spacing w:line="560" w:lineRule="exact"/>
              <w:jc w:val="center"/>
              <w:rPr>
                <w:rFonts w:ascii="方正仿宋_GBK" w:hAnsi="方正仿宋_GBK" w:eastAsia="方正仿宋_GBK" w:cs="方正仿宋_GBK"/>
                <w:sz w:val="24"/>
              </w:rPr>
            </w:pPr>
          </w:p>
        </w:tc>
        <w:tc>
          <w:tcPr>
            <w:tcW w:w="2919" w:type="dxa"/>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挂职</w:t>
            </w:r>
          </w:p>
        </w:tc>
        <w:tc>
          <w:tcPr>
            <w:tcW w:w="1453" w:type="dxa"/>
            <w:vAlign w:val="center"/>
          </w:tcPr>
          <w:p>
            <w:pPr>
              <w:spacing w:line="56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2048" w:type="dxa"/>
            <w:vMerge w:val="continue"/>
            <w:vAlign w:val="center"/>
          </w:tcPr>
          <w:p>
            <w:pPr>
              <w:spacing w:line="560" w:lineRule="exact"/>
              <w:jc w:val="center"/>
              <w:rPr>
                <w:rFonts w:ascii="方正仿宋_GBK" w:hAnsi="方正仿宋_GBK" w:eastAsia="方正仿宋_GBK" w:cs="方正仿宋_GBK"/>
                <w:sz w:val="24"/>
              </w:rPr>
            </w:pPr>
          </w:p>
        </w:tc>
        <w:tc>
          <w:tcPr>
            <w:tcW w:w="4200" w:type="dxa"/>
            <w:vMerge w:val="continue"/>
            <w:vAlign w:val="center"/>
          </w:tcPr>
          <w:p>
            <w:pPr>
              <w:spacing w:line="560" w:lineRule="exact"/>
              <w:jc w:val="center"/>
              <w:rPr>
                <w:rFonts w:ascii="方正仿宋_GBK" w:hAnsi="方正仿宋_GBK" w:eastAsia="方正仿宋_GBK" w:cs="方正仿宋_GBK"/>
                <w:sz w:val="24"/>
              </w:rPr>
            </w:pPr>
          </w:p>
        </w:tc>
        <w:tc>
          <w:tcPr>
            <w:tcW w:w="2919" w:type="dxa"/>
            <w:tcBorders>
              <w:right w:val="single" w:color="000000" w:sz="4" w:space="0"/>
            </w:tcBorders>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总数</w:t>
            </w:r>
          </w:p>
        </w:tc>
        <w:tc>
          <w:tcPr>
            <w:tcW w:w="1453" w:type="dxa"/>
            <w:tcBorders>
              <w:left w:val="single" w:color="000000" w:sz="4" w:space="0"/>
            </w:tcBorders>
            <w:vAlign w:val="center"/>
          </w:tcPr>
          <w:p>
            <w:pPr>
              <w:spacing w:line="56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2048" w:type="dxa"/>
            <w:vMerge w:val="continue"/>
            <w:vAlign w:val="center"/>
          </w:tcPr>
          <w:p>
            <w:pPr>
              <w:spacing w:line="560" w:lineRule="exact"/>
              <w:jc w:val="center"/>
              <w:rPr>
                <w:rFonts w:ascii="方正仿宋_GBK" w:hAnsi="方正仿宋_GBK" w:eastAsia="方正仿宋_GBK" w:cs="方正仿宋_GBK"/>
                <w:sz w:val="24"/>
              </w:rPr>
            </w:pPr>
          </w:p>
        </w:tc>
        <w:tc>
          <w:tcPr>
            <w:tcW w:w="4200" w:type="dxa"/>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清理已离职团干部数量</w:t>
            </w:r>
          </w:p>
        </w:tc>
        <w:tc>
          <w:tcPr>
            <w:tcW w:w="4372" w:type="dxa"/>
            <w:gridSpan w:val="2"/>
            <w:vAlign w:val="center"/>
          </w:tcPr>
          <w:p>
            <w:pPr>
              <w:spacing w:line="56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jc w:val="center"/>
        </w:trPr>
        <w:tc>
          <w:tcPr>
            <w:tcW w:w="2048" w:type="dxa"/>
            <w:vMerge w:val="restart"/>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团员资料信息</w:t>
            </w:r>
          </w:p>
        </w:tc>
        <w:tc>
          <w:tcPr>
            <w:tcW w:w="4200" w:type="dxa"/>
            <w:vMerge w:val="restart"/>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核准收入信息录入有误团员数量</w:t>
            </w:r>
          </w:p>
        </w:tc>
        <w:tc>
          <w:tcPr>
            <w:tcW w:w="2919" w:type="dxa"/>
            <w:tcBorders>
              <w:right w:val="single" w:color="000000" w:sz="4" w:space="0"/>
            </w:tcBorders>
            <w:vAlign w:val="center"/>
          </w:tcPr>
          <w:p>
            <w:pPr>
              <w:spacing w:line="240" w:lineRule="atLeas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由学生无收入转为有收入</w:t>
            </w:r>
          </w:p>
        </w:tc>
        <w:tc>
          <w:tcPr>
            <w:tcW w:w="1453" w:type="dxa"/>
            <w:tcBorders>
              <w:left w:val="single" w:color="000000" w:sz="4" w:space="0"/>
            </w:tcBorders>
            <w:vAlign w:val="center"/>
          </w:tcPr>
          <w:p>
            <w:pPr>
              <w:spacing w:line="56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jc w:val="center"/>
        </w:trPr>
        <w:tc>
          <w:tcPr>
            <w:tcW w:w="2048" w:type="dxa"/>
            <w:vMerge w:val="continue"/>
            <w:vAlign w:val="center"/>
          </w:tcPr>
          <w:p>
            <w:pPr>
              <w:spacing w:line="560" w:lineRule="exact"/>
              <w:jc w:val="center"/>
              <w:rPr>
                <w:rFonts w:ascii="方正仿宋_GBK" w:hAnsi="方正仿宋_GBK" w:eastAsia="方正仿宋_GBK" w:cs="方正仿宋_GBK"/>
                <w:sz w:val="24"/>
              </w:rPr>
            </w:pPr>
          </w:p>
        </w:tc>
        <w:tc>
          <w:tcPr>
            <w:tcW w:w="4200" w:type="dxa"/>
            <w:vMerge w:val="continue"/>
            <w:vAlign w:val="center"/>
          </w:tcPr>
          <w:p>
            <w:pPr>
              <w:spacing w:line="560" w:lineRule="exact"/>
              <w:jc w:val="center"/>
              <w:rPr>
                <w:rFonts w:ascii="方正仿宋_GBK" w:hAnsi="方正仿宋_GBK" w:eastAsia="方正仿宋_GBK" w:cs="方正仿宋_GBK"/>
                <w:sz w:val="24"/>
              </w:rPr>
            </w:pPr>
          </w:p>
        </w:tc>
        <w:tc>
          <w:tcPr>
            <w:tcW w:w="2919" w:type="dxa"/>
            <w:tcBorders>
              <w:right w:val="single" w:color="000000" w:sz="4" w:space="0"/>
            </w:tcBorders>
            <w:vAlign w:val="center"/>
          </w:tcPr>
          <w:p>
            <w:pPr>
              <w:spacing w:line="240" w:lineRule="atLeas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由农村户籍无收入转为有收入</w:t>
            </w:r>
          </w:p>
        </w:tc>
        <w:tc>
          <w:tcPr>
            <w:tcW w:w="1453" w:type="dxa"/>
            <w:tcBorders>
              <w:left w:val="single" w:color="000000" w:sz="4" w:space="0"/>
            </w:tcBorders>
            <w:vAlign w:val="center"/>
          </w:tcPr>
          <w:p>
            <w:pPr>
              <w:spacing w:line="56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2048" w:type="dxa"/>
            <w:vMerge w:val="continue"/>
            <w:vAlign w:val="center"/>
          </w:tcPr>
          <w:p>
            <w:pPr>
              <w:spacing w:line="560" w:lineRule="exact"/>
              <w:jc w:val="center"/>
              <w:rPr>
                <w:rFonts w:ascii="方正仿宋_GBK" w:hAnsi="方正仿宋_GBK" w:eastAsia="方正仿宋_GBK" w:cs="方正仿宋_GBK"/>
                <w:sz w:val="24"/>
              </w:rPr>
            </w:pPr>
          </w:p>
        </w:tc>
        <w:tc>
          <w:tcPr>
            <w:tcW w:w="4200" w:type="dxa"/>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核准政治面貌信息录入有误团员数量</w:t>
            </w:r>
          </w:p>
        </w:tc>
        <w:tc>
          <w:tcPr>
            <w:tcW w:w="4372" w:type="dxa"/>
            <w:gridSpan w:val="2"/>
            <w:vAlign w:val="center"/>
          </w:tcPr>
          <w:p>
            <w:pPr>
              <w:spacing w:line="56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2048" w:type="dxa"/>
            <w:vMerge w:val="restart"/>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团组织资料信息</w:t>
            </w:r>
          </w:p>
        </w:tc>
        <w:tc>
          <w:tcPr>
            <w:tcW w:w="4200" w:type="dxa"/>
            <w:vMerge w:val="restart"/>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核准名称不规范的团组织数量</w:t>
            </w:r>
          </w:p>
        </w:tc>
        <w:tc>
          <w:tcPr>
            <w:tcW w:w="2919" w:type="dxa"/>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核准全称</w:t>
            </w:r>
          </w:p>
        </w:tc>
        <w:tc>
          <w:tcPr>
            <w:tcW w:w="1453" w:type="dxa"/>
            <w:vAlign w:val="center"/>
          </w:tcPr>
          <w:p>
            <w:pPr>
              <w:spacing w:line="56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2048" w:type="dxa"/>
            <w:vMerge w:val="continue"/>
            <w:vAlign w:val="center"/>
          </w:tcPr>
          <w:p>
            <w:pPr>
              <w:spacing w:line="560" w:lineRule="exact"/>
              <w:jc w:val="center"/>
              <w:rPr>
                <w:rFonts w:ascii="方正仿宋_GBK" w:hAnsi="方正仿宋_GBK" w:eastAsia="方正仿宋_GBK" w:cs="方正仿宋_GBK"/>
                <w:sz w:val="24"/>
              </w:rPr>
            </w:pPr>
          </w:p>
        </w:tc>
        <w:tc>
          <w:tcPr>
            <w:tcW w:w="4200" w:type="dxa"/>
            <w:vMerge w:val="continue"/>
            <w:vAlign w:val="center"/>
          </w:tcPr>
          <w:p>
            <w:pPr>
              <w:spacing w:line="560" w:lineRule="exact"/>
              <w:jc w:val="center"/>
              <w:rPr>
                <w:rFonts w:ascii="方正仿宋_GBK" w:hAnsi="方正仿宋_GBK" w:eastAsia="方正仿宋_GBK" w:cs="方正仿宋_GBK"/>
                <w:sz w:val="24"/>
              </w:rPr>
            </w:pPr>
          </w:p>
        </w:tc>
        <w:tc>
          <w:tcPr>
            <w:tcW w:w="2919" w:type="dxa"/>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核准简称</w:t>
            </w:r>
          </w:p>
        </w:tc>
        <w:tc>
          <w:tcPr>
            <w:tcW w:w="1453" w:type="dxa"/>
            <w:vAlign w:val="center"/>
          </w:tcPr>
          <w:p>
            <w:pPr>
              <w:spacing w:line="56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2048" w:type="dxa"/>
            <w:vMerge w:val="continue"/>
            <w:vAlign w:val="center"/>
          </w:tcPr>
          <w:p>
            <w:pPr>
              <w:spacing w:line="560" w:lineRule="exact"/>
              <w:jc w:val="center"/>
              <w:rPr>
                <w:rFonts w:ascii="方正仿宋_GBK" w:hAnsi="方正仿宋_GBK" w:eastAsia="方正仿宋_GBK" w:cs="方正仿宋_GBK"/>
                <w:sz w:val="24"/>
              </w:rPr>
            </w:pPr>
          </w:p>
        </w:tc>
        <w:tc>
          <w:tcPr>
            <w:tcW w:w="4200" w:type="dxa"/>
            <w:vMerge w:val="continue"/>
            <w:vAlign w:val="center"/>
          </w:tcPr>
          <w:p>
            <w:pPr>
              <w:spacing w:line="560" w:lineRule="exact"/>
              <w:jc w:val="center"/>
              <w:rPr>
                <w:rFonts w:ascii="方正仿宋_GBK" w:hAnsi="方正仿宋_GBK" w:eastAsia="方正仿宋_GBK" w:cs="方正仿宋_GBK"/>
                <w:sz w:val="24"/>
              </w:rPr>
            </w:pPr>
          </w:p>
        </w:tc>
        <w:tc>
          <w:tcPr>
            <w:tcW w:w="2919" w:type="dxa"/>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核准</w:t>
            </w:r>
            <w:r>
              <w:rPr>
                <w:rFonts w:hint="eastAsia" w:ascii="方正仿宋_GBK" w:hAnsi="方正仿宋_GBK" w:eastAsia="方正仿宋_GBK" w:cs="方正仿宋_GBK"/>
                <w:sz w:val="24"/>
                <w:lang w:eastAsia="zh-CN"/>
              </w:rPr>
              <w:t>代称</w:t>
            </w:r>
          </w:p>
        </w:tc>
        <w:tc>
          <w:tcPr>
            <w:tcW w:w="1453" w:type="dxa"/>
            <w:vAlign w:val="center"/>
          </w:tcPr>
          <w:p>
            <w:pPr>
              <w:spacing w:line="56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2048" w:type="dxa"/>
            <w:vMerge w:val="continue"/>
            <w:vAlign w:val="center"/>
          </w:tcPr>
          <w:p>
            <w:pPr>
              <w:spacing w:line="560" w:lineRule="exact"/>
              <w:jc w:val="center"/>
              <w:rPr>
                <w:rFonts w:ascii="方正仿宋_GBK" w:hAnsi="方正仿宋_GBK" w:eastAsia="方正仿宋_GBK" w:cs="方正仿宋_GBK"/>
                <w:sz w:val="24"/>
              </w:rPr>
            </w:pPr>
          </w:p>
        </w:tc>
        <w:tc>
          <w:tcPr>
            <w:tcW w:w="4200" w:type="dxa"/>
            <w:vMerge w:val="restart"/>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核准团组织类别数量</w:t>
            </w:r>
          </w:p>
        </w:tc>
        <w:tc>
          <w:tcPr>
            <w:tcW w:w="2919" w:type="dxa"/>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核准组织类型</w:t>
            </w:r>
          </w:p>
        </w:tc>
        <w:tc>
          <w:tcPr>
            <w:tcW w:w="1453" w:type="dxa"/>
            <w:vAlign w:val="center"/>
          </w:tcPr>
          <w:p>
            <w:pPr>
              <w:spacing w:line="560" w:lineRule="exact"/>
              <w:jc w:val="center"/>
              <w:rPr>
                <w:rFonts w:ascii="方正仿宋_GBK" w:hAnsi="方正仿宋_GBK" w:eastAsia="方正仿宋_GBK" w:cs="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jc w:val="center"/>
        </w:trPr>
        <w:tc>
          <w:tcPr>
            <w:tcW w:w="2048" w:type="dxa"/>
            <w:vMerge w:val="continue"/>
            <w:vAlign w:val="center"/>
          </w:tcPr>
          <w:p>
            <w:pPr>
              <w:spacing w:line="560" w:lineRule="exact"/>
              <w:jc w:val="center"/>
              <w:rPr>
                <w:rFonts w:ascii="方正仿宋_GBK" w:hAnsi="方正仿宋_GBK" w:eastAsia="方正仿宋_GBK" w:cs="方正仿宋_GBK"/>
                <w:sz w:val="24"/>
              </w:rPr>
            </w:pPr>
          </w:p>
        </w:tc>
        <w:tc>
          <w:tcPr>
            <w:tcW w:w="4200" w:type="dxa"/>
            <w:vMerge w:val="continue"/>
            <w:vAlign w:val="center"/>
          </w:tcPr>
          <w:p>
            <w:pPr>
              <w:spacing w:line="560" w:lineRule="exact"/>
              <w:jc w:val="center"/>
              <w:rPr>
                <w:rFonts w:ascii="方正仿宋_GBK" w:hAnsi="方正仿宋_GBK" w:eastAsia="方正仿宋_GBK" w:cs="方正仿宋_GBK"/>
                <w:sz w:val="24"/>
              </w:rPr>
            </w:pPr>
          </w:p>
        </w:tc>
        <w:tc>
          <w:tcPr>
            <w:tcW w:w="2919" w:type="dxa"/>
            <w:vAlign w:val="center"/>
          </w:tcPr>
          <w:p>
            <w:pPr>
              <w:spacing w:line="56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核准行业类别</w:t>
            </w:r>
          </w:p>
        </w:tc>
        <w:tc>
          <w:tcPr>
            <w:tcW w:w="1453" w:type="dxa"/>
            <w:vAlign w:val="center"/>
          </w:tcPr>
          <w:p>
            <w:pPr>
              <w:spacing w:line="560" w:lineRule="exact"/>
              <w:jc w:val="center"/>
              <w:rPr>
                <w:rFonts w:ascii="方正仿宋_GBK" w:hAnsi="方正仿宋_GBK" w:eastAsia="方正仿宋_GBK" w:cs="方正仿宋_GBK"/>
                <w:sz w:val="24"/>
              </w:rPr>
            </w:pPr>
          </w:p>
        </w:tc>
      </w:tr>
    </w:tbl>
    <w:p>
      <w:pPr>
        <w:rPr>
          <w:rFonts w:ascii="方正仿宋_GBK" w:hAnsi="方正仿宋_GBK" w:eastAsia="方正仿宋_GBK" w:cs="方正仿宋_GBK"/>
          <w:sz w:val="24"/>
        </w:rPr>
      </w:pPr>
      <w:r>
        <w:rPr>
          <w:rFonts w:hint="eastAsia" w:ascii="方正仿宋_GBK" w:hAnsi="方正仿宋_GBK" w:eastAsia="方正仿宋_GBK" w:cs="方正仿宋_GBK"/>
          <w:sz w:val="24"/>
        </w:rPr>
        <w:t>说明：</w:t>
      </w:r>
    </w:p>
    <w:p>
      <w:pPr>
        <w:rPr>
          <w:rFonts w:ascii="方正仿宋_GBK" w:hAnsi="方正仿宋_GBK" w:eastAsia="方正仿宋_GBK" w:cs="方正仿宋_GBK"/>
          <w:sz w:val="24"/>
        </w:rPr>
      </w:pPr>
      <w:r>
        <w:rPr>
          <w:rFonts w:hint="eastAsia" w:ascii="方正仿宋_GBK" w:hAnsi="方正仿宋_GBK" w:eastAsia="方正仿宋_GBK" w:cs="方正仿宋_GBK"/>
          <w:sz w:val="24"/>
        </w:rPr>
        <w:t>（一）“经核准后的团干部数量”填报的为核准更新后专兼挂职团干部最终数量，将作为填报单位团干部数量基数标准，今后若出现大幅度变化，填报单位须向团省委提交情况说明。</w:t>
      </w:r>
    </w:p>
    <w:p>
      <w:pPr>
        <w:rPr>
          <w:rFonts w:ascii="方正仿宋_GBK" w:hAnsi="方正仿宋_GBK" w:eastAsia="方正仿宋_GBK" w:cs="方正仿宋_GBK"/>
          <w:sz w:val="24"/>
        </w:rPr>
        <w:sectPr>
          <w:pgSz w:w="11906" w:h="16838"/>
          <w:pgMar w:top="2098" w:right="1474" w:bottom="1985" w:left="1588" w:header="851" w:footer="1588" w:gutter="0"/>
          <w:pgNumType w:fmt="numberInDash"/>
          <w:cols w:space="0" w:num="1"/>
          <w:docGrid w:type="lines" w:linePitch="411" w:charSpace="0"/>
        </w:sectPr>
      </w:pPr>
      <w:r>
        <w:rPr>
          <w:rFonts w:hint="eastAsia" w:ascii="方正仿宋_GBK" w:hAnsi="方正仿宋_GBK" w:eastAsia="方正仿宋_GBK" w:cs="方正仿宋_GBK"/>
          <w:sz w:val="24"/>
        </w:rPr>
        <w:t>（二）除“经核准后的团干部数量”外的其他填报选项为此次核准工作的过程量。</w:t>
      </w:r>
    </w:p>
    <w:p>
      <w:pPr>
        <w:rPr>
          <w:rFonts w:ascii="方正仿宋_GBK" w:hAnsi="方正仿宋_GBK" w:eastAsia="方正仿宋_GBK" w:cs="方正仿宋_GBK"/>
          <w:sz w:val="24"/>
        </w:rPr>
      </w:pPr>
    </w:p>
    <w:p>
      <w:pPr>
        <w:rPr>
          <w:rFonts w:ascii="方正仿宋_GBK" w:hAnsi="方正仿宋_GBK" w:eastAsia="方正仿宋_GBK" w:cs="方正仿宋_GBK"/>
          <w:sz w:val="24"/>
        </w:rPr>
        <w:sectPr>
          <w:pgSz w:w="11906" w:h="16838"/>
          <w:pgMar w:top="2098" w:right="1474" w:bottom="1985" w:left="1588" w:header="851" w:footer="1588" w:gutter="0"/>
          <w:pgNumType w:fmt="numberInDash"/>
          <w:cols w:space="0" w:num="1"/>
          <w:docGrid w:type="lines" w:linePitch="411" w:charSpace="0"/>
        </w:sectPr>
      </w:pPr>
    </w:p>
    <w:tbl>
      <w:tblPr>
        <w:tblStyle w:val="7"/>
        <w:tblpPr w:leftFromText="181" w:rightFromText="181" w:vertAnchor="page" w:horzAnchor="page" w:tblpXSpec="center" w:tblpY="13582"/>
        <w:tblW w:w="9645" w:type="dxa"/>
        <w:jc w:val="center"/>
        <w:tblInd w:w="0" w:type="dxa"/>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3965"/>
        <w:gridCol w:w="5680"/>
      </w:tblGrid>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00" w:hRule="atLeast"/>
          <w:jc w:val="center"/>
        </w:trPr>
        <w:tc>
          <w:tcPr>
            <w:tcW w:w="3965" w:type="dxa"/>
            <w:tcBorders>
              <w:top w:val="single" w:color="auto" w:sz="4" w:space="0"/>
              <w:left w:val="single" w:color="FFFFFF" w:sz="4" w:space="0"/>
              <w:bottom w:val="single" w:color="auto" w:sz="4" w:space="0"/>
              <w:right w:val="nil"/>
            </w:tcBorders>
          </w:tcPr>
          <w:p>
            <w:pPr>
              <w:tabs>
                <w:tab w:val="left" w:pos="5598"/>
              </w:tabs>
              <w:spacing w:line="60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共青团广东省委办公室</w:t>
            </w:r>
          </w:p>
        </w:tc>
        <w:tc>
          <w:tcPr>
            <w:tcW w:w="5680" w:type="dxa"/>
            <w:tcBorders>
              <w:top w:val="single" w:color="auto" w:sz="4" w:space="0"/>
              <w:left w:val="nil"/>
              <w:bottom w:val="single" w:color="auto" w:sz="4" w:space="0"/>
              <w:right w:val="nil"/>
            </w:tcBorders>
          </w:tcPr>
          <w:p>
            <w:pPr>
              <w:tabs>
                <w:tab w:val="left" w:pos="5598"/>
              </w:tabs>
              <w:spacing w:line="600" w:lineRule="exact"/>
              <w:ind w:right="87"/>
              <w:jc w:val="right"/>
              <w:rPr>
                <w:rFonts w:ascii="方正仿宋_GBK" w:hAnsi="方正仿宋_GBK" w:eastAsia="方正仿宋_GBK" w:cs="方正仿宋_GBK"/>
                <w:sz w:val="32"/>
                <w:szCs w:val="32"/>
              </w:rPr>
            </w:pPr>
            <w:r>
              <w:rPr>
                <w:rFonts w:hint="eastAsia" w:ascii="Times New Roman" w:hAnsi="Times New Roman" w:eastAsia="仿宋_GB2312" w:cs="宋体"/>
                <w:color w:val="000000"/>
                <w:kern w:val="0"/>
                <w:sz w:val="32"/>
              </w:rPr>
              <w:t>2018</w:t>
            </w:r>
            <w:r>
              <w:rPr>
                <w:rFonts w:hint="eastAsia" w:ascii="方正仿宋_GBK" w:hAnsi="方正仿宋_GBK" w:eastAsia="方正仿宋_GBK" w:cs="方正仿宋_GBK"/>
                <w:sz w:val="32"/>
                <w:szCs w:val="32"/>
              </w:rPr>
              <w:t>年</w:t>
            </w:r>
            <w:r>
              <w:rPr>
                <w:rFonts w:hint="eastAsia" w:ascii="Times New Roman" w:hAnsi="Times New Roman" w:eastAsia="方正仿宋_GBK" w:cs="方正仿宋_GBK"/>
                <w:sz w:val="32"/>
                <w:szCs w:val="32"/>
              </w:rPr>
              <w:t>2</w:t>
            </w:r>
            <w:r>
              <w:rPr>
                <w:rFonts w:hint="eastAsia" w:ascii="方正仿宋_GBK" w:hAnsi="方正仿宋_GBK" w:eastAsia="方正仿宋_GBK" w:cs="方正仿宋_GBK"/>
                <w:sz w:val="32"/>
                <w:szCs w:val="32"/>
              </w:rPr>
              <w:t>月</w:t>
            </w:r>
            <w:r>
              <w:rPr>
                <w:rFonts w:hint="eastAsia" w:ascii="Times New Roman" w:hAnsi="Times New Roman" w:eastAsia="方正仿宋_GBK" w:cs="方正仿宋_GBK"/>
                <w:sz w:val="32"/>
                <w:szCs w:val="32"/>
              </w:rPr>
              <w:t>1</w:t>
            </w:r>
            <w:r>
              <w:rPr>
                <w:rFonts w:hint="eastAsia" w:ascii="Times New Roman" w:hAnsi="Times New Roman" w:eastAsia="方正仿宋_GBK" w:cs="方正仿宋_GBK"/>
                <w:sz w:val="32"/>
                <w:szCs w:val="32"/>
                <w:lang w:val="en-US" w:eastAsia="zh-CN"/>
              </w:rPr>
              <w:t>8</w:t>
            </w:r>
            <w:r>
              <w:rPr>
                <w:rFonts w:hint="eastAsia" w:ascii="方正仿宋_GBK" w:hAnsi="方正仿宋_GBK" w:eastAsia="方正仿宋_GBK" w:cs="方正仿宋_GBK"/>
                <w:sz w:val="32"/>
                <w:szCs w:val="32"/>
              </w:rPr>
              <w:t>日印发</w:t>
            </w:r>
          </w:p>
        </w:tc>
      </w:tr>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00" w:hRule="atLeast"/>
          <w:jc w:val="center"/>
        </w:trPr>
        <w:tc>
          <w:tcPr>
            <w:tcW w:w="9645" w:type="dxa"/>
            <w:gridSpan w:val="2"/>
            <w:tcBorders>
              <w:top w:val="single" w:color="auto" w:sz="4" w:space="0"/>
              <w:left w:val="single" w:color="FFFFFF" w:sz="4" w:space="0"/>
              <w:bottom w:val="nil"/>
              <w:right w:val="nil"/>
            </w:tcBorders>
          </w:tcPr>
          <w:p>
            <w:pPr>
              <w:tabs>
                <w:tab w:val="left" w:pos="635"/>
                <w:tab w:val="left" w:pos="5598"/>
              </w:tabs>
              <w:spacing w:line="600" w:lineRule="exact"/>
              <w:ind w:right="567"/>
              <w:jc w:val="left"/>
              <w:rPr>
                <w:rFonts w:ascii="方正仿宋_GBK" w:hAnsi="方正仿宋_GBK" w:eastAsia="方正仿宋_GBK" w:cs="方正仿宋_GBK"/>
                <w:sz w:val="32"/>
                <w:szCs w:val="32"/>
              </w:rPr>
            </w:pPr>
          </w:p>
        </w:tc>
      </w:tr>
    </w:tbl>
    <w:p>
      <w:pPr>
        <w:rPr>
          <w:rFonts w:ascii="方正仿宋_GBK" w:hAnsi="方正仿宋_GBK" w:eastAsia="方正仿宋_GBK" w:cs="方正仿宋_GBK"/>
          <w:sz w:val="24"/>
        </w:rPr>
      </w:pPr>
    </w:p>
    <w:sectPr>
      <w:pgSz w:w="11906" w:h="16838"/>
      <w:pgMar w:top="2098" w:right="1474" w:bottom="1985" w:left="1588" w:header="851" w:footer="1588" w:gutter="0"/>
      <w:pgNumType w:fmt="numberInDash"/>
      <w:cols w:space="0" w:num="1"/>
      <w:docGrid w:type="lines" w:linePitch="41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keepNext w:val="0"/>
                            <w:keepLines w:val="0"/>
                            <w:pageBreakBefore w:val="0"/>
                            <w:widowControl w:val="0"/>
                            <w:kinsoku/>
                            <w:wordWrap/>
                            <w:overflowPunct/>
                            <w:topLinePunct w:val="0"/>
                            <w:autoSpaceDE/>
                            <w:autoSpaceDN/>
                            <w:bidi w:val="0"/>
                            <w:adjustRightInd/>
                            <w:snapToGrid w:val="0"/>
                            <w:spacing w:line="240" w:lineRule="auto"/>
                            <w:ind w:left="0" w:leftChars="0" w:right="210" w:rightChars="100" w:firstLine="0" w:firstLineChars="0"/>
                            <w:jc w:val="both"/>
                            <w:textAlignment w:val="auto"/>
                            <w:outlineLvl w:val="9"/>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- 3 -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autoSpaceDE/>
                      <w:autoSpaceDN/>
                      <w:bidi w:val="0"/>
                      <w:adjustRightInd/>
                      <w:snapToGrid w:val="0"/>
                      <w:spacing w:line="240" w:lineRule="auto"/>
                      <w:ind w:left="0" w:leftChars="0" w:right="210" w:rightChars="100" w:firstLine="0" w:firstLineChars="0"/>
                      <w:jc w:val="both"/>
                      <w:textAlignment w:val="auto"/>
                      <w:outlineLvl w:val="9"/>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- 3 -</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keepNext w:val="0"/>
                            <w:keepLines w:val="0"/>
                            <w:pageBreakBefore w:val="0"/>
                            <w:widowControl w:val="0"/>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- 4 -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- 4 -</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embedSystemFonts/>
  <w:mirrorMargins w:val="1"/>
  <w:documentProtection w:edit="trackedChanges" w:enforcement="0"/>
  <w:defaultTabStop w:val="420"/>
  <w:evenAndOddHeaders w:val="1"/>
  <w:drawingGridHorizontalSpacing w:val="105"/>
  <w:drawingGridVerticalSpacing w:val="41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4AB3"/>
    <w:rsid w:val="000254CC"/>
    <w:rsid w:val="00057B6F"/>
    <w:rsid w:val="00081FE1"/>
    <w:rsid w:val="000A36A2"/>
    <w:rsid w:val="000D5295"/>
    <w:rsid w:val="000E17F7"/>
    <w:rsid w:val="00110D30"/>
    <w:rsid w:val="001234E3"/>
    <w:rsid w:val="00171E36"/>
    <w:rsid w:val="00172A27"/>
    <w:rsid w:val="00220866"/>
    <w:rsid w:val="002C08D5"/>
    <w:rsid w:val="002E66B5"/>
    <w:rsid w:val="003220DC"/>
    <w:rsid w:val="003261D0"/>
    <w:rsid w:val="0044144B"/>
    <w:rsid w:val="004C55DB"/>
    <w:rsid w:val="00587958"/>
    <w:rsid w:val="005C0C1B"/>
    <w:rsid w:val="006069BE"/>
    <w:rsid w:val="00620AA6"/>
    <w:rsid w:val="00790E52"/>
    <w:rsid w:val="00832183"/>
    <w:rsid w:val="00861D3B"/>
    <w:rsid w:val="00943ECF"/>
    <w:rsid w:val="00960EB9"/>
    <w:rsid w:val="00A368D4"/>
    <w:rsid w:val="00AA294B"/>
    <w:rsid w:val="00C46688"/>
    <w:rsid w:val="00C943D2"/>
    <w:rsid w:val="00CD2B61"/>
    <w:rsid w:val="00D1208A"/>
    <w:rsid w:val="00D72610"/>
    <w:rsid w:val="00D93C7E"/>
    <w:rsid w:val="00DD1E7B"/>
    <w:rsid w:val="00E26C31"/>
    <w:rsid w:val="00E43C87"/>
    <w:rsid w:val="00F22799"/>
    <w:rsid w:val="00F254D1"/>
    <w:rsid w:val="00F90CC1"/>
    <w:rsid w:val="00FA0B61"/>
    <w:rsid w:val="01A36895"/>
    <w:rsid w:val="0315698A"/>
    <w:rsid w:val="05AF78E5"/>
    <w:rsid w:val="07B53B03"/>
    <w:rsid w:val="08070C92"/>
    <w:rsid w:val="0B21498C"/>
    <w:rsid w:val="0CD43D9B"/>
    <w:rsid w:val="0CF56362"/>
    <w:rsid w:val="0E6B3CAF"/>
    <w:rsid w:val="0F637226"/>
    <w:rsid w:val="152C782B"/>
    <w:rsid w:val="162D1F5A"/>
    <w:rsid w:val="16C05C63"/>
    <w:rsid w:val="17136153"/>
    <w:rsid w:val="19042BF1"/>
    <w:rsid w:val="193A5E27"/>
    <w:rsid w:val="197F44E1"/>
    <w:rsid w:val="1CBC253E"/>
    <w:rsid w:val="1DC25AB1"/>
    <w:rsid w:val="1E515FC7"/>
    <w:rsid w:val="22F33F0A"/>
    <w:rsid w:val="22FE7283"/>
    <w:rsid w:val="234910CA"/>
    <w:rsid w:val="26635D63"/>
    <w:rsid w:val="2806588C"/>
    <w:rsid w:val="289034D4"/>
    <w:rsid w:val="28E6252F"/>
    <w:rsid w:val="29A75BCF"/>
    <w:rsid w:val="2B2A1AE0"/>
    <w:rsid w:val="318E0A89"/>
    <w:rsid w:val="345F6A50"/>
    <w:rsid w:val="35471CB2"/>
    <w:rsid w:val="36D76869"/>
    <w:rsid w:val="398A54E0"/>
    <w:rsid w:val="399331D9"/>
    <w:rsid w:val="3BF72543"/>
    <w:rsid w:val="3C004494"/>
    <w:rsid w:val="3F065DF3"/>
    <w:rsid w:val="404C5D09"/>
    <w:rsid w:val="41023F13"/>
    <w:rsid w:val="41046936"/>
    <w:rsid w:val="412A48F5"/>
    <w:rsid w:val="43A71F00"/>
    <w:rsid w:val="47DD4F9B"/>
    <w:rsid w:val="48877952"/>
    <w:rsid w:val="4B534994"/>
    <w:rsid w:val="4B8A387A"/>
    <w:rsid w:val="4C334A6B"/>
    <w:rsid w:val="4D67688D"/>
    <w:rsid w:val="4ED92DC9"/>
    <w:rsid w:val="4F9A66FE"/>
    <w:rsid w:val="50256F64"/>
    <w:rsid w:val="50DC2EBD"/>
    <w:rsid w:val="52514C2C"/>
    <w:rsid w:val="536B1E56"/>
    <w:rsid w:val="539657CF"/>
    <w:rsid w:val="55EB0B6E"/>
    <w:rsid w:val="57672D88"/>
    <w:rsid w:val="593F49B4"/>
    <w:rsid w:val="5C4559DA"/>
    <w:rsid w:val="5D74225F"/>
    <w:rsid w:val="5D85781B"/>
    <w:rsid w:val="5F4E3441"/>
    <w:rsid w:val="5F8662BA"/>
    <w:rsid w:val="5FA47277"/>
    <w:rsid w:val="62E76444"/>
    <w:rsid w:val="63FC57F9"/>
    <w:rsid w:val="6633411D"/>
    <w:rsid w:val="6652324A"/>
    <w:rsid w:val="6EAE4A12"/>
    <w:rsid w:val="6EF04F5C"/>
    <w:rsid w:val="6FCA0978"/>
    <w:rsid w:val="715E476E"/>
    <w:rsid w:val="718F575D"/>
    <w:rsid w:val="719B593D"/>
    <w:rsid w:val="737722F9"/>
    <w:rsid w:val="73893BDD"/>
    <w:rsid w:val="748878E4"/>
    <w:rsid w:val="782B793D"/>
    <w:rsid w:val="797B28A3"/>
    <w:rsid w:val="7C091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keepNext/>
      <w:keepLines/>
      <w:spacing w:before="340" w:after="330" w:line="578" w:lineRule="auto"/>
      <w:outlineLvl w:val="0"/>
    </w:pPr>
    <w:rPr>
      <w:b/>
      <w:bCs/>
      <w:kern w:val="44"/>
      <w:sz w:val="44"/>
      <w:szCs w:val="44"/>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标题 1 Char"/>
    <w:basedOn w:val="6"/>
    <w:link w:val="2"/>
    <w:qFormat/>
    <w:uiPriority w:val="0"/>
    <w:rPr>
      <w:b/>
      <w:bCs/>
      <w:kern w:val="44"/>
      <w:sz w:val="44"/>
      <w:szCs w:val="44"/>
    </w:rPr>
  </w:style>
  <w:style w:type="character" w:customStyle="1" w:styleId="10">
    <w:name w:val="页眉 Char"/>
    <w:basedOn w:val="6"/>
    <w:link w:val="5"/>
    <w:qFormat/>
    <w:uiPriority w:val="0"/>
    <w:rPr>
      <w:kern w:val="2"/>
      <w:sz w:val="18"/>
      <w:szCs w:val="18"/>
    </w:rPr>
  </w:style>
  <w:style w:type="character" w:customStyle="1" w:styleId="11">
    <w:name w:val="页脚 Char"/>
    <w:basedOn w:val="6"/>
    <w:link w:val="4"/>
    <w:qFormat/>
    <w:uiPriority w:val="99"/>
    <w:rPr>
      <w:kern w:val="2"/>
      <w:sz w:val="18"/>
      <w:szCs w:val="18"/>
    </w:rPr>
  </w:style>
  <w:style w:type="character" w:customStyle="1" w:styleId="12">
    <w:name w:val="批注框文本 Char"/>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18</Pages>
  <Words>5338</Words>
  <Characters>7364</Characters>
  <Lines>703</Lines>
  <Paragraphs>979</Paragraphs>
  <TotalTime>0</TotalTime>
  <ScaleCrop>false</ScaleCrop>
  <LinksUpToDate>false</LinksUpToDate>
  <CharactersWithSpaces>7437</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cp:lastPrinted>2019-02-18T10:29:51Z</cp:lastPrinted>
  <dcterms:modified xsi:type="dcterms:W3CDTF">2019-02-18T10:30:18Z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