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4"/>
        </w:tabs>
        <w:jc w:val="distribute"/>
        <w:rPr>
          <w:rFonts w:hint="eastAsia" w:ascii="方正小标宋简体" w:eastAsia="方正小标宋简体"/>
          <w:b/>
          <w:color w:val="FF0000"/>
          <w:kern w:val="21"/>
          <w:sz w:val="72"/>
          <w:szCs w:val="96"/>
        </w:rPr>
      </w:pPr>
      <w:bookmarkStart w:id="0" w:name="_GoBack"/>
      <w:bookmarkEnd w:id="0"/>
      <w:r>
        <w:rPr>
          <w:rFonts w:hint="eastAsia" w:ascii="方正小标宋简体" w:eastAsia="方正小标宋简体"/>
          <w:b/>
          <w:color w:val="FF0000"/>
          <w:kern w:val="21"/>
          <w:sz w:val="72"/>
          <w:szCs w:val="96"/>
        </w:rPr>
        <w:t>共青团广东省委员会</w:t>
      </w:r>
    </w:p>
    <w:p>
      <w:pPr>
        <w:tabs>
          <w:tab w:val="left" w:pos="564"/>
        </w:tabs>
        <w:jc w:val="distribute"/>
        <w:rPr>
          <w:rFonts w:hint="eastAsia" w:ascii="方正小标宋简体" w:eastAsia="方正小标宋简体"/>
          <w:b/>
          <w:color w:val="FF0000"/>
          <w:kern w:val="21"/>
          <w:sz w:val="72"/>
          <w:szCs w:val="96"/>
        </w:rPr>
      </w:pPr>
      <w:r>
        <w:rPr>
          <w:rFonts w:hint="eastAsia" w:ascii="方正小标宋简体" w:eastAsia="方正小标宋简体"/>
          <w:b/>
          <w:color w:val="FF0000"/>
          <w:kern w:val="21"/>
          <w:sz w:val="72"/>
          <w:szCs w:val="96"/>
        </w:rPr>
        <w:t>广东省绿化委员会</w:t>
      </w:r>
    </w:p>
    <w:p>
      <w:pPr>
        <w:tabs>
          <w:tab w:val="left" w:pos="564"/>
        </w:tabs>
        <w:jc w:val="distribute"/>
        <w:rPr>
          <w:rFonts w:hint="eastAsia" w:ascii="方正小标宋简体" w:eastAsia="方正小标宋简体"/>
          <w:b/>
          <w:color w:val="FF0000"/>
          <w:kern w:val="21"/>
          <w:sz w:val="72"/>
          <w:szCs w:val="96"/>
        </w:rPr>
      </w:pPr>
      <w:r>
        <w:rPr>
          <w:rFonts w:hint="eastAsia" w:ascii="方正小标宋简体" w:eastAsia="方正小标宋简体"/>
          <w:b/>
          <w:color w:val="FF0000"/>
          <w:kern w:val="21"/>
          <w:sz w:val="72"/>
          <w:szCs w:val="96"/>
        </w:rPr>
        <w:t>广东省环境保护厅</w:t>
      </w:r>
    </w:p>
    <w:p>
      <w:pPr>
        <w:tabs>
          <w:tab w:val="left" w:pos="564"/>
        </w:tabs>
        <w:jc w:val="distribute"/>
        <w:rPr>
          <w:rFonts w:hint="eastAsia" w:ascii="方正小标宋简体" w:eastAsia="方正小标宋简体"/>
          <w:b/>
          <w:color w:val="FF0000"/>
          <w:kern w:val="21"/>
          <w:sz w:val="72"/>
          <w:szCs w:val="96"/>
        </w:rPr>
      </w:pPr>
      <w:r>
        <w:rPr>
          <w:rFonts w:hint="eastAsia" w:ascii="方正小标宋简体" w:eastAsia="方正小标宋简体"/>
          <w:b/>
          <w:color w:val="FF0000"/>
          <w:kern w:val="21"/>
          <w:sz w:val="72"/>
          <w:szCs w:val="96"/>
        </w:rPr>
        <w:t>广东省</w:t>
      </w:r>
      <w:r>
        <w:rPr>
          <w:rFonts w:hint="eastAsia" w:ascii="方正小标宋简体" w:eastAsia="方正小标宋简体"/>
          <w:b/>
          <w:color w:val="FF0000"/>
          <w:kern w:val="21"/>
          <w:sz w:val="72"/>
          <w:szCs w:val="96"/>
          <w:lang w:eastAsia="zh-CN"/>
        </w:rPr>
        <w:t>水利厅</w:t>
      </w:r>
    </w:p>
    <w:p>
      <w:pPr>
        <w:tabs>
          <w:tab w:val="left" w:pos="564"/>
        </w:tabs>
        <w:jc w:val="distribute"/>
        <w:rPr>
          <w:rFonts w:hint="eastAsia" w:ascii="方正小标宋简体" w:eastAsia="方正小标宋简体"/>
          <w:b/>
          <w:color w:val="FF0000"/>
          <w:kern w:val="21"/>
          <w:sz w:val="72"/>
          <w:szCs w:val="96"/>
        </w:rPr>
      </w:pPr>
      <w:r>
        <w:rPr>
          <w:rFonts w:hint="eastAsia" w:ascii="方正小标宋简体" w:eastAsia="方正小标宋简体"/>
          <w:b/>
          <w:color w:val="FF0000"/>
          <w:kern w:val="21"/>
          <w:sz w:val="72"/>
          <w:szCs w:val="96"/>
        </w:rPr>
        <w:t>广东省林业厅</w:t>
      </w:r>
    </w:p>
    <w:p>
      <w:pPr>
        <w:jc w:val="center"/>
        <w:rPr>
          <w:rFonts w:hint="eastAsia" w:ascii="方正仿宋_GBK" w:hAnsi="仿宋_GB2312" w:eastAsia="方正仿宋_GBK" w:cs="仿宋_GB2312"/>
          <w:sz w:val="32"/>
          <w:szCs w:val="32"/>
        </w:rPr>
      </w:pPr>
    </w:p>
    <w:p>
      <w:pPr>
        <w:ind w:firstLine="640" w:firstLineChars="200"/>
        <w:jc w:val="center"/>
        <w:rPr>
          <w:rFonts w:hint="eastAsia" w:ascii="方正小标宋简体" w:hAnsi="方正小标宋简体" w:eastAsia="方正小标宋简体" w:cs="方正小标宋简体"/>
          <w:bCs/>
          <w:color w:val="000000"/>
          <w:sz w:val="44"/>
          <w:szCs w:val="44"/>
          <w:lang w:val="en-US" w:eastAsia="zh-CN"/>
        </w:rPr>
      </w:pPr>
      <w:r>
        <w:rPr>
          <w:rFonts w:hint="eastAsia" w:ascii="方正仿宋_GBK" w:hAnsi="仿宋_GB2312" w:eastAsia="方正仿宋_GBK" w:cs="仿宋_GB2312"/>
          <w:sz w:val="32"/>
          <w:szCs w:val="32"/>
        </w:rPr>
        <w:t>团粤联发</w:t>
      </w:r>
      <w:r>
        <w:rPr>
          <w:rFonts w:hint="eastAsia" w:ascii="方正仿宋_GBK" w:hAnsi="仿宋_GB2312" w:eastAsia="方正仿宋_GBK"/>
          <w:sz w:val="32"/>
        </w:rPr>
        <w:t>〔201</w:t>
      </w:r>
      <w:r>
        <w:rPr>
          <w:rFonts w:hint="eastAsia" w:ascii="方正仿宋_GBK" w:hAnsi="仿宋_GB2312" w:eastAsia="方正仿宋_GBK"/>
          <w:sz w:val="32"/>
          <w:lang w:val="en-US" w:eastAsia="zh-CN"/>
        </w:rPr>
        <w:t>8</w:t>
      </w:r>
      <w:r>
        <w:rPr>
          <w:rFonts w:hint="eastAsia" w:ascii="方正仿宋_GBK" w:hAnsi="仿宋_GB2312" w:eastAsia="方正仿宋_GBK"/>
          <w:sz w:val="32"/>
        </w:rPr>
        <w:t>〕</w:t>
      </w:r>
      <w:r>
        <w:rPr>
          <w:rFonts w:hint="eastAsia" w:ascii="方正仿宋_GBK" w:hAnsi="仿宋_GB2312" w:eastAsia="方正仿宋_GBK"/>
          <w:sz w:val="32"/>
          <w:lang w:val="en-US" w:eastAsia="zh-CN"/>
        </w:rPr>
        <w:t xml:space="preserve">13 </w:t>
      </w:r>
      <w:r>
        <w:rPr>
          <w:rFonts w:hint="eastAsia" w:ascii="方正仿宋_GBK" w:hAnsi="仿宋_GB2312" w:eastAsia="方正仿宋_GBK"/>
          <w:sz w:val="32"/>
        </w:rPr>
        <w:t>号</w:t>
      </w:r>
      <w:r>
        <mc:AlternateContent>
          <mc:Choice Requires="wps">
            <w:drawing>
              <wp:anchor distT="0" distB="0" distL="114300" distR="114300" simplePos="0" relativeHeight="251658240" behindDoc="0" locked="0" layoutInCell="1" allowOverlap="1">
                <wp:simplePos x="0" y="0"/>
                <wp:positionH relativeFrom="column">
                  <wp:posOffset>-194310</wp:posOffset>
                </wp:positionH>
                <wp:positionV relativeFrom="paragraph">
                  <wp:posOffset>328930</wp:posOffset>
                </wp:positionV>
                <wp:extent cx="5534025" cy="19050"/>
                <wp:effectExtent l="0" t="7620" r="9525" b="11430"/>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flipV="1">
                          <a:off x="0" y="0"/>
                          <a:ext cx="5534025" cy="19050"/>
                        </a:xfrm>
                        <a:prstGeom prst="straightConnector1">
                          <a:avLst/>
                        </a:prstGeom>
                        <a:noFill/>
                        <a:ln w="15875">
                          <a:solidFill>
                            <a:srgbClr val="FF0000"/>
                          </a:solidFill>
                          <a:round/>
                        </a:ln>
                        <a:effectLst/>
                      </wps:spPr>
                      <wps:bodyPr/>
                    </wps:wsp>
                  </a:graphicData>
                </a:graphic>
              </wp:anchor>
            </w:drawing>
          </mc:Choice>
          <mc:Fallback>
            <w:pict>
              <v:shape id="_x0000_s1026" o:spid="_x0000_s1026" o:spt="32" type="#_x0000_t32" style="position:absolute;left:0pt;flip:y;margin-left:-15.3pt;margin-top:25.9pt;height:1.5pt;width:435.75pt;z-index:251658240;mso-width-relative:page;mso-height-relative:page;" filled="f" stroked="t" coordsize="21600,21600" o:gfxdata="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wbuzfZAAAACQEAAA8AAAAAAAAAAQAgAAAAIgAAAGRycy9kb3ducmV2LnhtbFBLAQIUABQAAAAI&#10;AIdO4kCTgOvd7AEAAI0DAAAOAAAAAAAAAAEAIAAAACgBAABkcnMvZTJvRG9jLnhtbFBLBQYAAAAA&#10;BgAGAFkBAACGBQAAAAA=&#10;">
                <v:fill on="f" focussize="0,0"/>
                <v:stroke weight="1.25pt" color="#FF0000" joinstyle="round"/>
                <v:imagedata o:title=""/>
                <o:lock v:ext="edit" aspectratio="f"/>
              </v:shape>
            </w:pict>
          </mc:Fallback>
        </mc:AlternateContent>
      </w:r>
    </w:p>
    <w:p>
      <w:pPr>
        <w:snapToGrid w:val="0"/>
        <w:spacing w:line="720" w:lineRule="exact"/>
        <w:ind w:firstLine="880" w:firstLineChars="200"/>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lang w:val="en-US" w:eastAsia="zh-CN"/>
        </w:rPr>
        <w:t xml:space="preserve"> </w:t>
      </w:r>
      <w:r>
        <w:rPr>
          <w:rFonts w:hint="eastAsia" w:ascii="方正小标宋简体" w:hAnsi="方正小标宋简体" w:eastAsia="方正小标宋简体" w:cs="方正小标宋简体"/>
          <w:bCs/>
          <w:color w:val="000000"/>
          <w:sz w:val="44"/>
          <w:szCs w:val="44"/>
        </w:rPr>
        <w:t>关于开展“保护母亲河·美丽中国梦”</w:t>
      </w:r>
    </w:p>
    <w:p>
      <w:pPr>
        <w:snapToGrid w:val="0"/>
        <w:spacing w:line="720" w:lineRule="exact"/>
        <w:ind w:firstLine="880" w:firstLineChars="200"/>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2018年度广东青少年生态环保</w:t>
      </w:r>
    </w:p>
    <w:p>
      <w:pPr>
        <w:snapToGrid w:val="0"/>
        <w:spacing w:line="720" w:lineRule="exact"/>
        <w:ind w:firstLine="880" w:firstLineChars="200"/>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系列活动的通知</w:t>
      </w:r>
    </w:p>
    <w:p>
      <w:pPr>
        <w:snapToGrid w:val="0"/>
        <w:spacing w:line="580" w:lineRule="exact"/>
        <w:jc w:val="center"/>
        <w:rPr>
          <w:rFonts w:ascii="华文中宋" w:hAnsi="华文中宋" w:eastAsia="华文中宋"/>
          <w:b/>
          <w:color w:val="000000"/>
          <w:sz w:val="44"/>
          <w:szCs w:val="44"/>
        </w:rPr>
      </w:pPr>
    </w:p>
    <w:p>
      <w:pPr>
        <w:keepNext w:val="0"/>
        <w:keepLines w:val="0"/>
        <w:pageBreakBefore w:val="0"/>
        <w:kinsoku/>
        <w:wordWrap/>
        <w:overflowPunct/>
        <w:topLinePunct w:val="0"/>
        <w:autoSpaceDE/>
        <w:bidi w:val="0"/>
        <w:snapToGrid/>
        <w:spacing w:line="540" w:lineRule="exact"/>
        <w:ind w:right="0" w:rightChars="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各地级以上市团委、绿委、环保局、水务局、林业局，深圳市人居环境委，各高等学校团委，省直机关团工委、民航中南地区管理局团委、南航集团团委、广铁集团团委、省国资委团委、省社会组织团工委、省金融团工委：</w:t>
      </w:r>
    </w:p>
    <w:p>
      <w:pPr>
        <w:keepNext w:val="0"/>
        <w:keepLines w:val="0"/>
        <w:pageBreakBefore w:val="0"/>
        <w:kinsoku/>
        <w:wordWrap/>
        <w:overflowPunct/>
        <w:topLinePunct w:val="0"/>
        <w:autoSpaceDE/>
        <w:bidi w:val="0"/>
        <w:snapToGrid/>
        <w:spacing w:line="540" w:lineRule="exact"/>
        <w:ind w:left="0" w:leftChars="0" w:right="0" w:rightChars="0" w:firstLine="640" w:firstLineChars="200"/>
        <w:textAlignment w:val="auto"/>
        <w:rPr>
          <w:rFonts w:ascii="方正仿宋_GBK" w:hAnsi="方正仿宋_GBK" w:eastAsia="方正仿宋_GBK" w:cs="方正仿宋_GBK"/>
          <w:color w:val="000000"/>
          <w:spacing w:val="-4"/>
          <w:sz w:val="32"/>
          <w:szCs w:val="32"/>
        </w:rPr>
      </w:pPr>
      <w:r>
        <w:rPr>
          <w:rFonts w:hint="eastAsia" w:ascii="方正仿宋_GBK" w:hAnsi="方正仿宋_GBK" w:eastAsia="方正仿宋_GBK" w:cs="方正仿宋_GBK"/>
          <w:color w:val="000000"/>
          <w:sz w:val="32"/>
          <w:szCs w:val="32"/>
        </w:rPr>
        <w:t>为认真贯彻习近平新时代中国特色社会主义思想和党的十九大精神，</w:t>
      </w:r>
      <w:r>
        <w:rPr>
          <w:rFonts w:hint="eastAsia" w:ascii="方正仿宋_GBK" w:hAnsi="方正仿宋_GBK" w:eastAsia="方正仿宋_GBK" w:cs="方正仿宋_GBK"/>
          <w:color w:val="000000"/>
          <w:sz w:val="32"/>
          <w:szCs w:val="32"/>
          <w:lang w:eastAsia="zh-CN"/>
        </w:rPr>
        <w:t>深入贯彻习近平总书记对广东重要指示批示精神，</w:t>
      </w:r>
      <w:r>
        <w:rPr>
          <w:rFonts w:hint="eastAsia" w:ascii="方正仿宋_GBK" w:hAnsi="方正仿宋_GBK" w:eastAsia="方正仿宋_GBK" w:cs="方正仿宋_GBK"/>
          <w:color w:val="000000"/>
          <w:sz w:val="32"/>
          <w:szCs w:val="32"/>
        </w:rPr>
        <w:t>积极引导广大青少年树立和践行绿水青山就是金山银山的理念，打好污染防治攻坚战，全方位参与生态环保和建设公益事业，以实际行动扎实推进新一轮绿化广东大行动，团省委、</w:t>
      </w:r>
      <w:r>
        <w:rPr>
          <w:rFonts w:hint="eastAsia" w:ascii="方正仿宋_GBK" w:hAnsi="方正仿宋_GBK" w:eastAsia="方正仿宋_GBK" w:cs="方正仿宋_GBK"/>
          <w:color w:val="000000"/>
          <w:spacing w:val="-4"/>
          <w:sz w:val="32"/>
          <w:szCs w:val="32"/>
        </w:rPr>
        <w:t>省绿委、省环保厅、省水利厅、省林业厅决定联合开展“保护母亲河·美丽中国梦”2018年度广东青少年生态环保系列活动。现将有关事</w:t>
      </w:r>
      <w:r>
        <w:rPr>
          <w:rFonts w:hint="eastAsia" w:ascii="方正仿宋_GBK" w:hAnsi="方正仿宋_GBK" w:eastAsia="方正仿宋_GBK" w:cs="方正仿宋_GBK"/>
          <w:color w:val="000000"/>
          <w:spacing w:val="-4"/>
          <w:sz w:val="32"/>
          <w:szCs w:val="32"/>
          <w:lang w:eastAsia="zh-CN"/>
        </w:rPr>
        <w:t>项</w:t>
      </w:r>
      <w:r>
        <w:rPr>
          <w:rFonts w:hint="eastAsia" w:ascii="方正仿宋_GBK" w:hAnsi="方正仿宋_GBK" w:eastAsia="方正仿宋_GBK" w:cs="方正仿宋_GBK"/>
          <w:color w:val="000000"/>
          <w:spacing w:val="-4"/>
          <w:sz w:val="32"/>
          <w:szCs w:val="32"/>
        </w:rPr>
        <w:t>通知如下：</w:t>
      </w:r>
    </w:p>
    <w:p>
      <w:pPr>
        <w:keepNext w:val="0"/>
        <w:keepLines w:val="0"/>
        <w:pageBreakBefore w:val="0"/>
        <w:kinsoku/>
        <w:wordWrap/>
        <w:overflowPunct/>
        <w:topLinePunct w:val="0"/>
        <w:autoSpaceDE/>
        <w:bidi w:val="0"/>
        <w:snapToGrid/>
        <w:spacing w:line="540" w:lineRule="exact"/>
        <w:ind w:left="0" w:leftChars="0" w:right="0" w:rightChars="0" w:firstLine="624" w:firstLineChars="200"/>
        <w:textAlignment w:val="auto"/>
        <w:rPr>
          <w:rFonts w:ascii="黑体" w:hAnsi="黑体" w:eastAsia="黑体" w:cs="方正黑体_GBK"/>
          <w:color w:val="000000"/>
          <w:spacing w:val="-4"/>
          <w:sz w:val="32"/>
          <w:szCs w:val="32"/>
        </w:rPr>
      </w:pPr>
      <w:r>
        <w:rPr>
          <w:rFonts w:hint="eastAsia" w:ascii="黑体" w:hAnsi="黑体" w:eastAsia="黑体" w:cs="方正黑体_GBK"/>
          <w:color w:val="000000"/>
          <w:spacing w:val="-4"/>
          <w:sz w:val="32"/>
          <w:szCs w:val="32"/>
        </w:rPr>
        <w:t>一、总体思路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outlineLvl w:val="0"/>
        <w:rPr>
          <w:rFonts w:hint="eastAsia"/>
          <w:lang w:val="en-US" w:eastAsia="zh-CN"/>
        </w:rPr>
      </w:pPr>
      <w:r>
        <w:rPr>
          <w:rFonts w:hint="eastAsia" w:ascii="方正仿宋_GBK" w:hAnsi="方正仿宋_GBK" w:eastAsia="方正仿宋_GBK" w:cs="方正仿宋_GBK"/>
          <w:b w:val="0"/>
          <w:color w:val="000000"/>
          <w:kern w:val="2"/>
          <w:sz w:val="32"/>
          <w:szCs w:val="32"/>
          <w:lang w:val="en-US" w:eastAsia="zh-CN" w:bidi="ar-SA"/>
        </w:rPr>
        <w:t>按照《中共中央 国务院关于实施乡村振兴战略的意见》（中发</w:t>
      </w:r>
      <w:r>
        <w:rPr>
          <w:rFonts w:hint="eastAsia" w:ascii="宋体" w:hAnsi="宋体" w:eastAsia="宋体" w:cs="宋体"/>
          <w:b w:val="0"/>
          <w:color w:val="000000"/>
          <w:kern w:val="2"/>
          <w:sz w:val="32"/>
          <w:szCs w:val="32"/>
          <w:lang w:val="en-US" w:eastAsia="zh-CN" w:bidi="ar-SA"/>
        </w:rPr>
        <w:t>〔</w:t>
      </w:r>
      <w:r>
        <w:rPr>
          <w:rFonts w:hint="eastAsia" w:ascii="方正仿宋_GBK" w:hAnsi="方正仿宋_GBK" w:eastAsia="方正仿宋_GBK" w:cs="方正仿宋_GBK"/>
          <w:b w:val="0"/>
          <w:color w:val="000000"/>
          <w:kern w:val="2"/>
          <w:sz w:val="32"/>
          <w:szCs w:val="32"/>
          <w:lang w:val="en-US" w:eastAsia="zh-CN" w:bidi="ar-SA"/>
        </w:rPr>
        <w:t>2018</w:t>
      </w:r>
      <w:r>
        <w:rPr>
          <w:rFonts w:hint="eastAsia" w:ascii="宋体" w:hAnsi="宋体" w:eastAsia="宋体" w:cs="宋体"/>
          <w:b w:val="0"/>
          <w:color w:val="000000"/>
          <w:kern w:val="2"/>
          <w:sz w:val="32"/>
          <w:szCs w:val="32"/>
          <w:lang w:val="en-US" w:eastAsia="zh-CN" w:bidi="ar-SA"/>
        </w:rPr>
        <w:t>〕</w:t>
      </w:r>
      <w:r>
        <w:rPr>
          <w:rFonts w:hint="eastAsia" w:ascii="方正仿宋_GBK" w:hAnsi="方正仿宋_GBK" w:eastAsia="方正仿宋_GBK" w:cs="方正仿宋_GBK"/>
          <w:b w:val="0"/>
          <w:color w:val="000000"/>
          <w:kern w:val="2"/>
          <w:sz w:val="32"/>
          <w:szCs w:val="32"/>
          <w:lang w:val="en-US" w:eastAsia="zh-CN" w:bidi="ar-SA"/>
        </w:rPr>
        <w:t>1号）提出的“推进乡村绿色发展，打造人与自然和谐共生发展新格局”和省十三五规划提出的“坚持绿色发展，保障生态安全，着力增强发展可持续性”工作要求，以“保护母亲河 争当‘河小青’”活动为牵动，广泛组织动员广大青少年积极开展绿化公益宣传活动，弘扬绿色生态文化，共建共享绿色生态的氛围，推动护绿爱绿成为社会风尚，助力精准脱贫攻坚工作，为建设美丽广东、建设全国绿色生态第一省贡献青春力量。</w:t>
      </w:r>
    </w:p>
    <w:p>
      <w:pPr>
        <w:keepNext w:val="0"/>
        <w:keepLines w:val="0"/>
        <w:pageBreakBefore w:val="0"/>
        <w:kinsoku/>
        <w:wordWrap/>
        <w:overflowPunct/>
        <w:topLinePunct w:val="0"/>
        <w:autoSpaceDE/>
        <w:bidi w:val="0"/>
        <w:snapToGrid/>
        <w:spacing w:line="540" w:lineRule="exact"/>
        <w:ind w:left="0" w:leftChars="0" w:right="0" w:rightChars="0" w:firstLine="624" w:firstLineChars="200"/>
        <w:textAlignment w:val="auto"/>
        <w:rPr>
          <w:rFonts w:ascii="黑体" w:hAnsi="黑体" w:eastAsia="黑体" w:cs="方正黑体_GBK"/>
          <w:color w:val="000000"/>
          <w:spacing w:val="-4"/>
          <w:sz w:val="32"/>
          <w:szCs w:val="32"/>
        </w:rPr>
      </w:pPr>
      <w:r>
        <w:rPr>
          <w:rFonts w:hint="eastAsia" w:ascii="黑体" w:hAnsi="黑体" w:eastAsia="黑体" w:cs="方正黑体_GBK"/>
          <w:color w:val="000000"/>
          <w:spacing w:val="-4"/>
          <w:sz w:val="32"/>
          <w:szCs w:val="32"/>
        </w:rPr>
        <w:t>二、主要内容</w:t>
      </w:r>
    </w:p>
    <w:p>
      <w:pPr>
        <w:keepNext w:val="0"/>
        <w:keepLines w:val="0"/>
        <w:pageBreakBefore w:val="0"/>
        <w:kinsoku/>
        <w:wordWrap/>
        <w:overflowPunct/>
        <w:topLinePunct w:val="0"/>
        <w:autoSpaceDE/>
        <w:bidi w:val="0"/>
        <w:snapToGrid/>
        <w:spacing w:line="540" w:lineRule="exact"/>
        <w:ind w:left="0" w:leftChars="0" w:right="0" w:rightChars="0" w:firstLine="640" w:firstLineChars="200"/>
        <w:textAlignment w:val="auto"/>
        <w:rPr>
          <w:rFonts w:hint="eastAsia" w:ascii="方正仿宋_GBK" w:hAnsi="方正仿宋_GBK" w:eastAsia="方正仿宋_GBK" w:cs="方正仿宋_GBK"/>
          <w:color w:val="000000"/>
          <w:sz w:val="32"/>
          <w:szCs w:val="32"/>
        </w:rPr>
      </w:pPr>
      <w:r>
        <w:rPr>
          <w:rFonts w:hint="eastAsia" w:ascii="楷体" w:hAnsi="楷体" w:eastAsia="楷体" w:cs="楷体"/>
          <w:bCs/>
          <w:color w:val="000000"/>
          <w:sz w:val="32"/>
          <w:szCs w:val="32"/>
        </w:rPr>
        <w:t>（一）整合资源，开展义务植树造林活动。</w:t>
      </w:r>
      <w:r>
        <w:rPr>
          <w:rFonts w:hint="eastAsia" w:ascii="方正仿宋_GBK" w:hAnsi="方正仿宋_GBK" w:eastAsia="方正仿宋_GBK" w:cs="方正仿宋_GBK"/>
          <w:color w:val="000000"/>
          <w:sz w:val="32"/>
          <w:szCs w:val="32"/>
        </w:rPr>
        <w:t>抓住春季适合植树造林的有利时节，利用植树节、国际森林日、世界水日和世界地球日等重要时间节点，积极整合社会各界</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资源，组织广大青少年开展义务植树造林活动，争取爱心企事业单位冠名建设公益林，积极传播绿色生态理念，</w:t>
      </w:r>
      <w:r>
        <w:rPr>
          <w:rFonts w:hint="eastAsia" w:ascii="仿宋_GB2312" w:hAnsi="仿宋_GB2312" w:eastAsia="仿宋_GB2312" w:cs="仿宋_GB2312"/>
          <w:color w:val="2B2B2B"/>
          <w:sz w:val="32"/>
          <w:szCs w:val="32"/>
          <w:shd w:val="clear" w:color="auto" w:fill="FFFFFF"/>
        </w:rPr>
        <w:t>充分利用微信群、全省志愿者服务平台等线上平台，结合“粤团聚”婚恋交友工作，</w:t>
      </w:r>
      <w:r>
        <w:rPr>
          <w:rFonts w:hint="eastAsia" w:ascii="方正仿宋_GBK" w:hAnsi="方正仿宋_GBK" w:eastAsia="方正仿宋_GBK" w:cs="方正仿宋_GBK"/>
          <w:color w:val="000000"/>
          <w:sz w:val="32"/>
          <w:szCs w:val="32"/>
        </w:rPr>
        <w:t>鼓励社会公众、志愿者自发建设青年林、感恩林、亲子林、爱情林、志愿者林等主题林，集中开展流域性或区域性的各类青少年植树造林活动，</w:t>
      </w:r>
      <w:r>
        <w:rPr>
          <w:rFonts w:hint="eastAsia" w:ascii="方正仿宋_GBK" w:hAnsi="方正仿宋_GBK" w:eastAsia="方正仿宋_GBK" w:cs="方正仿宋_GBK"/>
          <w:color w:val="000000"/>
          <w:sz w:val="32"/>
          <w:szCs w:val="32"/>
          <w:lang w:eastAsia="zh-CN"/>
        </w:rPr>
        <w:t>推动</w:t>
      </w:r>
      <w:r>
        <w:rPr>
          <w:rFonts w:hint="eastAsia" w:ascii="仿宋_GB2312" w:hAnsi="仿宋_GB2312" w:eastAsia="仿宋_GB2312" w:cs="仿宋_GB2312"/>
          <w:color w:val="2B2B2B"/>
          <w:sz w:val="32"/>
          <w:szCs w:val="32"/>
          <w:shd w:val="clear" w:color="auto" w:fill="FFFFFF"/>
        </w:rPr>
        <w:t>植树护绿活动多样化、全民化。</w:t>
      </w:r>
      <w:r>
        <w:rPr>
          <w:rFonts w:hint="eastAsia" w:ascii="方正仿宋_GBK" w:hAnsi="方正仿宋_GBK" w:eastAsia="方正仿宋_GBK" w:cs="方正仿宋_GBK"/>
          <w:color w:val="000000"/>
          <w:sz w:val="32"/>
          <w:szCs w:val="32"/>
        </w:rPr>
        <w:t>按照营造“望得见山、看得见水、记得住乡愁”的生态空间建设理念，不断提高乡村绿化水平。引导青少年在城市家居、办公场所内外空间开展屋顶、墙面、阳台、门庭、棚架、围墙、栅栏、树荫停车场等立体绿化的身边增绿活动。</w:t>
      </w:r>
    </w:p>
    <w:p>
      <w:pPr>
        <w:keepNext w:val="0"/>
        <w:keepLines w:val="0"/>
        <w:pageBreakBefore w:val="0"/>
        <w:kinsoku/>
        <w:wordWrap/>
        <w:overflowPunct/>
        <w:topLinePunct w:val="0"/>
        <w:autoSpaceDE/>
        <w:bidi w:val="0"/>
        <w:snapToGrid/>
        <w:spacing w:line="540" w:lineRule="exact"/>
        <w:ind w:left="0" w:leftChars="0" w:right="0" w:rightChars="0"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楷体" w:hAnsi="楷体" w:eastAsia="楷体" w:cs="楷体"/>
          <w:bCs/>
          <w:color w:val="000000"/>
          <w:sz w:val="32"/>
          <w:szCs w:val="32"/>
        </w:rPr>
        <w:t>（二）</w:t>
      </w:r>
      <w:r>
        <w:rPr>
          <w:rFonts w:hint="eastAsia" w:ascii="楷体" w:hAnsi="楷体" w:eastAsia="楷体" w:cs="楷体"/>
          <w:bCs/>
          <w:color w:val="000000"/>
          <w:sz w:val="32"/>
          <w:szCs w:val="32"/>
          <w:lang w:eastAsia="zh-CN"/>
        </w:rPr>
        <w:t>深化“河小青”行动，助推绿色生态水系建设。</w:t>
      </w:r>
      <w:r>
        <w:rPr>
          <w:rFonts w:hint="eastAsia" w:ascii="方正仿宋_GBK" w:hAnsi="方正仿宋_GBK" w:eastAsia="方正仿宋_GBK" w:cs="方正仿宋_GBK"/>
          <w:color w:val="000000"/>
          <w:sz w:val="32"/>
          <w:szCs w:val="32"/>
          <w:lang w:eastAsia="zh-CN"/>
        </w:rPr>
        <w:t>“河小青”是我省广大青少年参与管水治水护水的力量总称，是维护江河湖泊健康生命的生力军。对照全国保护母亲河领导小组《关于开展“保护母亲河</w:t>
      </w:r>
      <w:r>
        <w:rPr>
          <w:rFonts w:hint="eastAsia" w:ascii="方正仿宋_GBK" w:hAnsi="方正仿宋_GBK" w:eastAsia="方正仿宋_GBK" w:cs="方正仿宋_GBK"/>
          <w:color w:val="000000"/>
          <w:sz w:val="32"/>
          <w:szCs w:val="32"/>
          <w:lang w:val="en-US" w:eastAsia="zh-CN"/>
        </w:rPr>
        <w:t xml:space="preserve"> 争当‘河小青’</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活动的通知</w:t>
      </w:r>
      <w:r>
        <w:rPr>
          <w:rFonts w:hint="eastAsia" w:ascii="方正仿宋_GBK" w:hAnsi="方正仿宋_GBK" w:eastAsia="方正仿宋_GBK" w:cs="方正仿宋_GBK"/>
          <w:color w:val="000000"/>
          <w:sz w:val="32"/>
          <w:szCs w:val="32"/>
          <w:lang w:eastAsia="zh-CN"/>
        </w:rPr>
        <w:t>》要求，探索组建“共青团</w:t>
      </w:r>
      <w:r>
        <w:rPr>
          <w:rFonts w:hint="eastAsia" w:ascii="方正仿宋_GBK" w:hAnsi="方正仿宋_GBK" w:eastAsia="方正仿宋_GBK" w:cs="方正仿宋_GBK"/>
          <w:color w:val="000000"/>
          <w:sz w:val="32"/>
          <w:szCs w:val="32"/>
          <w:lang w:val="en-US" w:eastAsia="zh-CN"/>
        </w:rPr>
        <w:t>+青年环保社会组织+青年志愿者队伍+青年突击队</w:t>
      </w:r>
      <w:r>
        <w:rPr>
          <w:rFonts w:hint="eastAsia" w:ascii="方正仿宋_GBK" w:hAnsi="方正仿宋_GBK" w:eastAsia="方正仿宋_GBK" w:cs="方正仿宋_GBK"/>
          <w:color w:val="000000"/>
          <w:sz w:val="32"/>
          <w:szCs w:val="32"/>
          <w:lang w:eastAsia="zh-CN"/>
        </w:rPr>
        <w:t>”的“河小青”队伍体系，对招募的青年志愿者进行河湖管理保护专业知识普及和技能培训，宣导广大青少年做好宣传员、巡查员、监督员、联络员，支持专家学者、高校学生开展“四个一”（巡一条河道、访一个典型、办一件实事、做一个课题）活动，利用世界环境日、世界水日、保护母亲河日以及五四、六一等重要时间节点，设计开展集中性的“河小青”跟着河长去巡河护河相关活动，动员青少年开展日常性的“随手拍、随手捡、随手护”等巡河护河“微行动”。以“母亲河奖”“青年文明号”“青年岗位能手”等评选创建活动为载体，鼓励青联委员、青年企业家、农村青年致富带头人等带头转变生产方式，引导在“河小青”青年岗位建功。</w:t>
      </w:r>
    </w:p>
    <w:p>
      <w:pPr>
        <w:keepNext w:val="0"/>
        <w:keepLines w:val="0"/>
        <w:pageBreakBefore w:val="0"/>
        <w:kinsoku/>
        <w:wordWrap/>
        <w:overflowPunct/>
        <w:topLinePunct w:val="0"/>
        <w:autoSpaceDE/>
        <w:bidi w:val="0"/>
        <w:snapToGrid/>
        <w:spacing w:line="540" w:lineRule="exact"/>
        <w:ind w:left="0" w:leftChars="0" w:right="0" w:rightChars="0" w:firstLine="640" w:firstLineChars="200"/>
        <w:textAlignment w:val="auto"/>
        <w:rPr>
          <w:rFonts w:ascii="方正仿宋_GBK" w:hAnsi="方正仿宋_GBK" w:eastAsia="方正仿宋_GBK" w:cs="方正仿宋_GBK"/>
          <w:color w:val="000000"/>
          <w:sz w:val="32"/>
          <w:szCs w:val="32"/>
        </w:rPr>
      </w:pPr>
      <w:r>
        <w:rPr>
          <w:rFonts w:hint="eastAsia" w:ascii="楷体" w:hAnsi="楷体" w:eastAsia="楷体" w:cs="楷体"/>
          <w:bCs/>
          <w:color w:val="000000"/>
          <w:sz w:val="32"/>
          <w:szCs w:val="32"/>
        </w:rPr>
        <w:t>（</w:t>
      </w:r>
      <w:r>
        <w:rPr>
          <w:rFonts w:hint="eastAsia" w:ascii="楷体" w:hAnsi="楷体" w:eastAsia="楷体" w:cs="楷体"/>
          <w:bCs/>
          <w:color w:val="000000"/>
          <w:sz w:val="32"/>
          <w:szCs w:val="32"/>
          <w:lang w:eastAsia="zh-CN"/>
        </w:rPr>
        <w:t>三</w:t>
      </w:r>
      <w:r>
        <w:rPr>
          <w:rFonts w:hint="eastAsia" w:ascii="楷体" w:hAnsi="楷体" w:eastAsia="楷体" w:cs="楷体"/>
          <w:bCs/>
          <w:color w:val="000000"/>
          <w:sz w:val="32"/>
          <w:szCs w:val="32"/>
        </w:rPr>
        <w:t>）助力乡村绿化美化建设，构建城乡一体化生态系统。</w:t>
      </w:r>
      <w:r>
        <w:rPr>
          <w:rFonts w:hint="eastAsia" w:ascii="方正仿宋_GBK" w:hAnsi="方正仿宋_GBK" w:eastAsia="方正仿宋_GBK" w:cs="方正仿宋_GBK"/>
          <w:sz w:val="32"/>
          <w:szCs w:val="32"/>
        </w:rPr>
        <w:t>森林城市、森林小镇建设，是改善城乡人居环境质量、建设宜居宜业美好家园的重要举措。</w:t>
      </w:r>
      <w:r>
        <w:rPr>
          <w:rFonts w:hint="eastAsia" w:ascii="方正仿宋_GBK" w:hAnsi="方正仿宋_GBK" w:eastAsia="方正仿宋_GBK" w:cs="方正仿宋_GBK"/>
          <w:color w:val="000000"/>
          <w:sz w:val="32"/>
          <w:szCs w:val="32"/>
        </w:rPr>
        <w:t>按照省林业厅《关于印发新一轮绿化广东大行动目标任务的通知》要求，结合当前乡村造林绿化的现状与具体实际，市、县团委按照“一镇一村”的工作方法，整体推进乡村特别是相对贫困村的绿化美化建设工程。按照入村有景观路、村后有水源林、村中有小公园、房前屋后搞绿化的工作思路，组织团员青年、</w:t>
      </w:r>
      <w:r>
        <w:rPr>
          <w:rFonts w:hint="eastAsia" w:ascii="方正仿宋_GBK" w:hAnsi="方正仿宋_GBK" w:eastAsia="方正仿宋_GBK" w:cs="方正仿宋_GBK"/>
          <w:sz w:val="32"/>
          <w:szCs w:val="32"/>
        </w:rPr>
        <w:t>志愿者利用农村道路、渠系两侧和闲置地、边角地、废弃地等开展“四旁”植树活动，</w:t>
      </w:r>
      <w:r>
        <w:rPr>
          <w:rFonts w:hint="eastAsia" w:ascii="方正仿宋_GBK" w:hAnsi="方正仿宋_GBK" w:eastAsia="方正仿宋_GBK" w:cs="方正仿宋_GBK"/>
          <w:color w:val="000000"/>
          <w:sz w:val="32"/>
          <w:szCs w:val="32"/>
        </w:rPr>
        <w:t>构建“村在林中、院在绿中、人在景中”的乡村生态新格局。各级团组织要依托本地丰富的森林资源、良好的生态环境、独特的森林景观和厚重的生态文化，积极助力本地打造生态特色的森林小镇，引导村民种植名特优经济林树种、珍贵乡土阔叶树种以及种花种草。</w:t>
      </w:r>
    </w:p>
    <w:p>
      <w:pPr>
        <w:keepNext w:val="0"/>
        <w:keepLines w:val="0"/>
        <w:pageBreakBefore w:val="0"/>
        <w:kinsoku/>
        <w:wordWrap/>
        <w:overflowPunct/>
        <w:topLinePunct w:val="0"/>
        <w:autoSpaceDE/>
        <w:bidi w:val="0"/>
        <w:snapToGrid/>
        <w:spacing w:line="540" w:lineRule="exact"/>
        <w:ind w:left="0" w:leftChars="0" w:right="0" w:rightChars="0" w:firstLine="640" w:firstLineChars="200"/>
        <w:textAlignment w:val="auto"/>
        <w:rPr>
          <w:rFonts w:ascii="方正仿宋_GBK" w:hAnsi="方正仿宋_GBK" w:eastAsia="方正仿宋_GBK" w:cs="方正仿宋_GBK"/>
          <w:color w:val="000000"/>
          <w:sz w:val="32"/>
          <w:szCs w:val="32"/>
        </w:rPr>
      </w:pPr>
      <w:r>
        <w:rPr>
          <w:rFonts w:hint="eastAsia" w:ascii="楷体" w:hAnsi="楷体" w:eastAsia="楷体" w:cs="楷体"/>
          <w:bCs/>
          <w:color w:val="000000"/>
          <w:sz w:val="32"/>
          <w:szCs w:val="32"/>
        </w:rPr>
        <w:t>（</w:t>
      </w:r>
      <w:r>
        <w:rPr>
          <w:rFonts w:hint="eastAsia" w:ascii="楷体" w:hAnsi="楷体" w:eastAsia="楷体" w:cs="楷体"/>
          <w:bCs/>
          <w:color w:val="000000"/>
          <w:sz w:val="32"/>
          <w:szCs w:val="32"/>
          <w:lang w:eastAsia="zh-CN"/>
        </w:rPr>
        <w:t>四</w:t>
      </w:r>
      <w:r>
        <w:rPr>
          <w:rFonts w:hint="eastAsia" w:ascii="楷体" w:hAnsi="楷体" w:eastAsia="楷体" w:cs="楷体"/>
          <w:bCs/>
          <w:color w:val="000000"/>
          <w:sz w:val="32"/>
          <w:szCs w:val="32"/>
        </w:rPr>
        <w:t>）助推森林城市、森林小镇建设，共建美丽家园。</w:t>
      </w:r>
      <w:r>
        <w:rPr>
          <w:rFonts w:hint="eastAsia" w:ascii="方正仿宋_GBK" w:hAnsi="方正仿宋_GBK" w:eastAsia="方正仿宋_GBK" w:cs="方正仿宋_GBK"/>
          <w:color w:val="000000"/>
          <w:sz w:val="32"/>
          <w:szCs w:val="32"/>
        </w:rPr>
        <w:t>各级团组织要深刻认识森林城市、森林小镇建设是加快国土绿化和生态文明建设的创新实践，是改善城乡人居环境质量，建设宜居宜业美好家园的重要举措。珠三角各地市团委要围绕服务粤港澳大湾区发展和建设世界一流森林城市群的目标，按照《珠三角国家森林城市群建设规划》和相关实施方案，主动谋划多地青少年联动的生态环保格局，向市民宣讲创森指标。引导有条件的青年企业家利用好当地丰富的森林资源、良好的生态环境、独特的森林景观和厚重的生态文化，积极打造休闲宜居</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生态旅游</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岭南水乡三种生态特色的森林小镇。大力开展森林生态文化创作，积极构建岭南特色</w:t>
      </w:r>
      <w:r>
        <w:rPr>
          <w:rFonts w:hint="eastAsia" w:ascii="方正仿宋_GBK" w:hAnsi="方正仿宋_GBK" w:eastAsia="方正仿宋_GBK" w:cs="方正仿宋_GBK"/>
          <w:color w:val="000000"/>
          <w:sz w:val="32"/>
          <w:szCs w:val="32"/>
          <w:lang w:eastAsia="zh-CN"/>
        </w:rPr>
        <w:t>森林</w:t>
      </w:r>
      <w:r>
        <w:rPr>
          <w:rFonts w:hint="eastAsia" w:ascii="方正仿宋_GBK" w:hAnsi="方正仿宋_GBK" w:eastAsia="方正仿宋_GBK" w:cs="方正仿宋_GBK"/>
          <w:color w:val="000000"/>
          <w:sz w:val="32"/>
          <w:szCs w:val="32"/>
        </w:rPr>
        <w:t>文化体系，加强森林生态文化专题宣传，进一步丰富森林城市</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森林小镇的文化内涵，让人们充分享受生命，感受生命，热爱生命。大力弘扬人与自然和谐相处的生态价值观</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让生态融入生活，用文化凝聚力量，形成尊重自然</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保护自然，合理利用资源的生产生活方式。</w:t>
      </w:r>
    </w:p>
    <w:p>
      <w:pPr>
        <w:keepNext w:val="0"/>
        <w:keepLines w:val="0"/>
        <w:pageBreakBefore w:val="0"/>
        <w:kinsoku/>
        <w:wordWrap/>
        <w:overflowPunct/>
        <w:topLinePunct w:val="0"/>
        <w:autoSpaceDE/>
        <w:bidi w:val="0"/>
        <w:snapToGrid/>
        <w:spacing w:line="540" w:lineRule="exact"/>
        <w:ind w:left="0" w:leftChars="0" w:right="0" w:rightChars="0" w:firstLine="640" w:firstLineChars="200"/>
        <w:textAlignment w:val="auto"/>
        <w:rPr>
          <w:rFonts w:ascii="方正仿宋_GBK" w:hAnsi="方正仿宋_GBK" w:eastAsia="方正仿宋_GBK" w:cs="方正仿宋_GBK"/>
          <w:color w:val="FF0000"/>
          <w:sz w:val="32"/>
          <w:szCs w:val="32"/>
        </w:rPr>
      </w:pPr>
      <w:r>
        <w:rPr>
          <w:rFonts w:hint="eastAsia" w:ascii="楷体" w:hAnsi="楷体" w:eastAsia="楷体" w:cs="楷体"/>
          <w:bCs/>
          <w:color w:val="000000"/>
          <w:sz w:val="32"/>
          <w:szCs w:val="32"/>
        </w:rPr>
        <w:t>（</w:t>
      </w:r>
      <w:r>
        <w:rPr>
          <w:rFonts w:hint="eastAsia" w:ascii="楷体" w:hAnsi="楷体" w:eastAsia="楷体" w:cs="楷体"/>
          <w:bCs/>
          <w:color w:val="000000"/>
          <w:sz w:val="32"/>
          <w:szCs w:val="32"/>
          <w:lang w:eastAsia="zh-CN"/>
        </w:rPr>
        <w:t>五</w:t>
      </w:r>
      <w:r>
        <w:rPr>
          <w:rFonts w:hint="eastAsia" w:ascii="楷体" w:hAnsi="楷体" w:eastAsia="楷体" w:cs="楷体"/>
          <w:bCs/>
          <w:color w:val="000000"/>
          <w:sz w:val="32"/>
          <w:szCs w:val="32"/>
        </w:rPr>
        <w:t>）拓展生态环保“微公益”行动，推动生态文明理念深入人心。</w:t>
      </w:r>
      <w:r>
        <w:rPr>
          <w:rFonts w:hint="eastAsia" w:ascii="方正仿宋_GBK" w:hAnsi="方正仿宋_GBK" w:eastAsia="方正仿宋_GBK" w:cs="方正仿宋_GBK"/>
          <w:color w:val="000000"/>
          <w:sz w:val="32"/>
          <w:szCs w:val="32"/>
        </w:rPr>
        <w:t>积极探索面向普通社会公众的“微公益”项目，引导广大青少年从身边细微处做起，开展节水护水、抵制污染、美化环境</w:t>
      </w:r>
      <w:r>
        <w:rPr>
          <w:rFonts w:hint="eastAsia" w:ascii="方正仿宋_GBK" w:hAnsi="方正仿宋_GBK" w:eastAsia="方正仿宋_GBK" w:cs="方正仿宋_GBK"/>
          <w:color w:val="000000"/>
          <w:sz w:val="32"/>
          <w:szCs w:val="32"/>
          <w:lang w:eastAsia="zh-CN"/>
        </w:rPr>
        <w:t>、骑行健走</w:t>
      </w:r>
      <w:r>
        <w:rPr>
          <w:rFonts w:hint="eastAsia" w:ascii="方正仿宋_GBK" w:hAnsi="方正仿宋_GBK" w:eastAsia="方正仿宋_GBK" w:cs="方正仿宋_GBK"/>
          <w:color w:val="000000"/>
          <w:sz w:val="32"/>
          <w:szCs w:val="32"/>
        </w:rPr>
        <w:t>等“微行动”。发动“青年文明号”集体在工业、农业、服务业等生产过程中树立绿色环保意识，推广节能技术，降低能源消耗，参与环保节能发明活动等，通过绿色生产带动绿色经济，</w:t>
      </w:r>
      <w:r>
        <w:rPr>
          <w:rFonts w:hint="eastAsia" w:ascii="方正仿宋_GBK" w:hAnsi="方正仿宋_GBK" w:eastAsia="方正仿宋_GBK" w:cs="方正仿宋_GBK"/>
          <w:sz w:val="32"/>
          <w:szCs w:val="32"/>
        </w:rPr>
        <w:t>倡导企业和社会力量加强节能减排技术改造和治水节水技术攻关。</w:t>
      </w:r>
      <w:r>
        <w:rPr>
          <w:rFonts w:hint="eastAsia" w:ascii="方正仿宋_GBK" w:hAnsi="方正仿宋_GBK" w:eastAsia="方正仿宋_GBK" w:cs="方正仿宋_GBK"/>
          <w:color w:val="000000"/>
          <w:sz w:val="32"/>
          <w:szCs w:val="32"/>
        </w:rPr>
        <w:t>开展垃圾分类回收、物品循环利用、光盘行动等，引导青少年养成勤俭节约、绿色低碳、文明健康的生活方式和消费模式，倡导绿色生活。</w:t>
      </w:r>
      <w:r>
        <w:rPr>
          <w:rFonts w:hint="eastAsia" w:ascii="方正仿宋_GBK" w:hAnsi="方正仿宋_GBK" w:eastAsia="方正仿宋_GBK" w:cs="方正仿宋_GBK"/>
          <w:sz w:val="32"/>
          <w:szCs w:val="32"/>
        </w:rPr>
        <w:t>普及护绿小知识，宣传林地、湿地等自然资源在生态系统中的重要作用，借助专业新媒体竞赛平台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征集、推广青少年自制的优秀作品，联合专业机构制作青少年生态环保类文化产品，提升植绿爱绿</w:t>
      </w:r>
      <w:r>
        <w:rPr>
          <w:rFonts w:hint="eastAsia" w:ascii="方正仿宋_GBK" w:hAnsi="方正仿宋_GBK" w:eastAsia="方正仿宋_GBK" w:cs="方正仿宋_GBK"/>
          <w:sz w:val="32"/>
          <w:szCs w:val="32"/>
          <w:lang w:eastAsia="zh-CN"/>
        </w:rPr>
        <w:t>护绿</w:t>
      </w:r>
      <w:r>
        <w:rPr>
          <w:rFonts w:hint="eastAsia" w:ascii="方正仿宋_GBK" w:hAnsi="方正仿宋_GBK" w:eastAsia="方正仿宋_GBK" w:cs="方正仿宋_GBK"/>
          <w:sz w:val="32"/>
          <w:szCs w:val="32"/>
        </w:rPr>
        <w:t>意识。</w:t>
      </w:r>
    </w:p>
    <w:p>
      <w:pPr>
        <w:keepNext w:val="0"/>
        <w:keepLines w:val="0"/>
        <w:pageBreakBefore w:val="0"/>
        <w:kinsoku/>
        <w:wordWrap/>
        <w:overflowPunct/>
        <w:topLinePunct w:val="0"/>
        <w:autoSpaceDE/>
        <w:bidi w:val="0"/>
        <w:snapToGrid/>
        <w:spacing w:line="540" w:lineRule="exact"/>
        <w:ind w:left="0" w:leftChars="0" w:right="0" w:rightChars="0" w:firstLine="624" w:firstLineChars="200"/>
        <w:textAlignment w:val="auto"/>
        <w:rPr>
          <w:rFonts w:ascii="黑体" w:hAnsi="黑体" w:eastAsia="黑体" w:cs="方正黑体_GBK"/>
          <w:color w:val="000000"/>
          <w:spacing w:val="-4"/>
          <w:sz w:val="32"/>
          <w:szCs w:val="32"/>
        </w:rPr>
      </w:pPr>
      <w:r>
        <w:rPr>
          <w:rFonts w:hint="eastAsia" w:ascii="黑体" w:hAnsi="黑体" w:eastAsia="黑体" w:cs="方正黑体_GBK"/>
          <w:color w:val="000000"/>
          <w:spacing w:val="-4"/>
          <w:sz w:val="32"/>
          <w:szCs w:val="32"/>
        </w:rPr>
        <w:t>三、有关要求</w:t>
      </w:r>
    </w:p>
    <w:p>
      <w:pPr>
        <w:keepNext w:val="0"/>
        <w:keepLines w:val="0"/>
        <w:pageBreakBefore w:val="0"/>
        <w:kinsoku/>
        <w:wordWrap/>
        <w:overflowPunct/>
        <w:topLinePunct w:val="0"/>
        <w:autoSpaceDE/>
        <w:bidi w:val="0"/>
        <w:snapToGrid/>
        <w:spacing w:line="540" w:lineRule="exact"/>
        <w:ind w:left="0" w:leftChars="0" w:right="0" w:rightChars="0" w:firstLine="640" w:firstLineChars="200"/>
        <w:textAlignment w:val="auto"/>
        <w:rPr>
          <w:rFonts w:ascii="方正仿宋_GBK" w:hAnsi="方正仿宋_GBK" w:eastAsia="方正仿宋_GBK" w:cs="方正仿宋_GBK"/>
          <w:sz w:val="32"/>
        </w:rPr>
      </w:pPr>
      <w:r>
        <w:rPr>
          <w:rFonts w:hint="eastAsia" w:ascii="楷体" w:hAnsi="楷体" w:eastAsia="楷体" w:cs="楷体"/>
          <w:sz w:val="32"/>
          <w:lang w:eastAsia="zh-CN"/>
        </w:rPr>
        <w:t>（</w:t>
      </w:r>
      <w:r>
        <w:rPr>
          <w:rFonts w:hint="eastAsia" w:ascii="楷体" w:hAnsi="楷体" w:eastAsia="楷体" w:cs="楷体"/>
          <w:sz w:val="32"/>
        </w:rPr>
        <w:t>一</w:t>
      </w:r>
      <w:r>
        <w:rPr>
          <w:rFonts w:hint="eastAsia" w:ascii="楷体" w:hAnsi="楷体" w:eastAsia="楷体" w:cs="楷体"/>
          <w:sz w:val="32"/>
          <w:lang w:eastAsia="zh-CN"/>
        </w:rPr>
        <w:t>）</w:t>
      </w:r>
      <w:r>
        <w:rPr>
          <w:rFonts w:hint="eastAsia" w:ascii="楷体" w:hAnsi="楷体" w:eastAsia="楷体" w:cs="楷体"/>
          <w:sz w:val="32"/>
        </w:rPr>
        <w:t>高度重视，加强组织领导。</w:t>
      </w:r>
      <w:r>
        <w:rPr>
          <w:rFonts w:hint="eastAsia" w:ascii="方正仿宋_GBK" w:hAnsi="方正仿宋_GBK" w:eastAsia="方正仿宋_GBK" w:cs="方正仿宋_GBK"/>
          <w:sz w:val="32"/>
        </w:rPr>
        <w:t>各级团组织和绿委、</w:t>
      </w:r>
      <w:r>
        <w:rPr>
          <w:rFonts w:hint="eastAsia" w:ascii="方正仿宋_GBK" w:hAnsi="方正仿宋_GBK" w:eastAsia="方正仿宋_GBK" w:cs="方正仿宋_GBK"/>
          <w:sz w:val="32"/>
          <w:lang w:eastAsia="zh-CN"/>
        </w:rPr>
        <w:t>环保、水利、</w:t>
      </w:r>
      <w:r>
        <w:rPr>
          <w:rFonts w:hint="eastAsia" w:ascii="方正仿宋_GBK" w:hAnsi="方正仿宋_GBK" w:eastAsia="方正仿宋_GBK" w:cs="方正仿宋_GBK"/>
          <w:sz w:val="32"/>
        </w:rPr>
        <w:t>林业部门要高度重视，加强合作，开展好以“保护母亲河”为主题的活动。市级团委、绿委、环保、水利、林业</w:t>
      </w:r>
      <w:r>
        <w:rPr>
          <w:rFonts w:hint="eastAsia" w:ascii="方正仿宋_GBK" w:hAnsi="方正仿宋_GBK" w:eastAsia="方正仿宋_GBK" w:cs="方正仿宋_GBK"/>
          <w:sz w:val="32"/>
          <w:lang w:eastAsia="zh-CN"/>
        </w:rPr>
        <w:t>部门</w:t>
      </w:r>
      <w:r>
        <w:rPr>
          <w:rFonts w:hint="eastAsia" w:ascii="方正仿宋_GBK" w:hAnsi="方正仿宋_GBK" w:eastAsia="方正仿宋_GBK" w:cs="方正仿宋_GBK"/>
          <w:sz w:val="32"/>
        </w:rPr>
        <w:t>，主要负责本地区“保护母亲河”活动的组织领导，要重点做好思路谋划、统筹指导、支持保障等工作。县级团委、绿委、环保、水利、林业</w:t>
      </w:r>
      <w:r>
        <w:rPr>
          <w:rFonts w:hint="eastAsia" w:ascii="方正仿宋_GBK" w:hAnsi="方正仿宋_GBK" w:eastAsia="方正仿宋_GBK" w:cs="方正仿宋_GBK"/>
          <w:sz w:val="32"/>
          <w:lang w:eastAsia="zh-CN"/>
        </w:rPr>
        <w:t>部门</w:t>
      </w:r>
      <w:r>
        <w:rPr>
          <w:rFonts w:hint="eastAsia" w:ascii="方正仿宋_GBK" w:hAnsi="方正仿宋_GBK" w:eastAsia="方正仿宋_GBK" w:cs="方正仿宋_GBK"/>
          <w:sz w:val="32"/>
        </w:rPr>
        <w:t>是“保护母亲河”活动的实施主体，要结合实际，突出重点，做出特色，务求实效。</w:t>
      </w:r>
    </w:p>
    <w:p>
      <w:pPr>
        <w:keepNext w:val="0"/>
        <w:keepLines w:val="0"/>
        <w:pageBreakBefore w:val="0"/>
        <w:kinsoku/>
        <w:wordWrap/>
        <w:overflowPunct/>
        <w:topLinePunct w:val="0"/>
        <w:autoSpaceDE/>
        <w:bidi w:val="0"/>
        <w:snapToGrid/>
        <w:spacing w:line="540" w:lineRule="exact"/>
        <w:ind w:left="0" w:leftChars="0" w:right="0" w:rightChars="0" w:firstLine="640" w:firstLineChars="200"/>
        <w:textAlignment w:val="auto"/>
        <w:rPr>
          <w:rFonts w:ascii="方正仿宋_GBK" w:hAnsi="方正仿宋_GBK" w:eastAsia="方正仿宋_GBK" w:cs="方正仿宋_GBK"/>
          <w:sz w:val="32"/>
        </w:rPr>
      </w:pPr>
      <w:r>
        <w:rPr>
          <w:rFonts w:hint="eastAsia" w:ascii="楷体" w:hAnsi="楷体" w:eastAsia="楷体" w:cs="楷体"/>
          <w:sz w:val="32"/>
          <w:lang w:eastAsia="zh-CN"/>
        </w:rPr>
        <w:t>（</w:t>
      </w:r>
      <w:r>
        <w:rPr>
          <w:rFonts w:hint="eastAsia" w:ascii="楷体" w:hAnsi="楷体" w:eastAsia="楷体" w:cs="楷体"/>
          <w:sz w:val="32"/>
        </w:rPr>
        <w:t>二</w:t>
      </w:r>
      <w:r>
        <w:rPr>
          <w:rFonts w:hint="eastAsia" w:ascii="楷体" w:hAnsi="楷体" w:eastAsia="楷体" w:cs="楷体"/>
          <w:sz w:val="32"/>
          <w:lang w:eastAsia="zh-CN"/>
        </w:rPr>
        <w:t>）</w:t>
      </w:r>
      <w:r>
        <w:rPr>
          <w:rFonts w:hint="eastAsia" w:ascii="楷体" w:hAnsi="楷体" w:eastAsia="楷体" w:cs="楷体"/>
          <w:sz w:val="32"/>
        </w:rPr>
        <w:t>健全机制，形成社会合力。</w:t>
      </w:r>
      <w:r>
        <w:rPr>
          <w:rFonts w:hint="eastAsia" w:ascii="方正仿宋_GBK" w:hAnsi="方正仿宋_GBK" w:eastAsia="方正仿宋_GBK" w:cs="方正仿宋_GBK"/>
          <w:sz w:val="32"/>
        </w:rPr>
        <w:t>要建立常态化的沟通联络和分工协作机制，构建党政部门、群团组织、社会力量合力推动“保护母亲河”活动的良好格局</w:t>
      </w:r>
      <w:r>
        <w:rPr>
          <w:rFonts w:hint="eastAsia" w:ascii="方正仿宋_GBK" w:hAnsi="方正仿宋_GBK" w:eastAsia="方正仿宋_GBK" w:cs="方正仿宋_GBK"/>
          <w:sz w:val="32"/>
          <w:lang w:eastAsia="zh-CN"/>
        </w:rPr>
        <w:t>，</w:t>
      </w:r>
      <w:r>
        <w:rPr>
          <w:rFonts w:hint="eastAsia" w:ascii="方正仿宋_GBK" w:hAnsi="方正仿宋_GBK" w:eastAsia="方正仿宋_GBK" w:cs="方正仿宋_GBK"/>
          <w:color w:val="000000"/>
          <w:sz w:val="32"/>
          <w:szCs w:val="32"/>
          <w:lang w:eastAsia="zh-CN"/>
        </w:rPr>
        <w:t>主动构建紧密、互通的对话河长机制，积极向各级河长及相关部门汇报，争取政策、资金、技术等方面的支持。团组织主要</w:t>
      </w:r>
      <w:r>
        <w:rPr>
          <w:rFonts w:hint="eastAsia" w:ascii="方正仿宋_GBK" w:hAnsi="方正仿宋_GBK" w:eastAsia="方正仿宋_GBK" w:cs="方正仿宋_GBK"/>
          <w:sz w:val="32"/>
        </w:rPr>
        <w:t>负责活动策划、人员组织、媒体宣传、社会化动员以及优秀典型经验做法推广等工作，绿委、环保、水利、林业部门主要负责将青少年植树护绿、争当“河小青”、生态建设行动纳入当地造林绿化和生态建设总体规划，并加强技术指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snapToGrid/>
        <w:spacing w:before="0" w:beforeAutospacing="0" w:after="0" w:afterAutospacing="0" w:line="540" w:lineRule="exact"/>
        <w:ind w:left="0" w:leftChars="0" w:right="0" w:rightChars="0" w:firstLine="640" w:firstLineChars="200"/>
        <w:jc w:val="left"/>
        <w:textAlignment w:val="auto"/>
        <w:rPr>
          <w:rFonts w:ascii="方正仿宋_GBK" w:hAnsi="方正仿宋_GBK" w:eastAsia="方正仿宋_GBK" w:cs="方正仿宋_GBK"/>
          <w:color w:val="FF0000"/>
          <w:sz w:val="32"/>
          <w:szCs w:val="32"/>
        </w:rPr>
      </w:pPr>
      <w:r>
        <w:rPr>
          <w:rFonts w:hint="eastAsia" w:ascii="楷体" w:hAnsi="楷体" w:eastAsia="楷体" w:cs="楷体"/>
          <w:b w:val="0"/>
          <w:kern w:val="2"/>
          <w:sz w:val="32"/>
          <w:szCs w:val="22"/>
          <w:lang w:val="en-US" w:eastAsia="zh-CN" w:bidi="ar-SA"/>
        </w:rPr>
        <w:t>（三）注重宣传，推广典型经验。</w:t>
      </w:r>
      <w:r>
        <w:rPr>
          <w:rFonts w:hint="eastAsia" w:ascii="方正仿宋_GBK" w:hAnsi="方正仿宋_GBK" w:eastAsia="方正仿宋_GBK" w:cs="方正仿宋_GBK"/>
          <w:b w:val="0"/>
          <w:kern w:val="2"/>
          <w:sz w:val="32"/>
          <w:szCs w:val="22"/>
          <w:lang w:val="en-US" w:eastAsia="zh-CN" w:bidi="ar-SA"/>
        </w:rPr>
        <w:t>各级团组织要充分利用“广东青年之声”互动社交平台（http://www.12355.net）等团属媒体以及移动直播、微信公众号、微博、网站、广播、电视、报纸、杂志等</w:t>
      </w:r>
      <w:r>
        <w:rPr>
          <w:rFonts w:hint="default" w:ascii="方正仿宋_GBK" w:hAnsi="方正仿宋_GBK" w:eastAsia="方正仿宋_GBK" w:cs="方正仿宋_GBK"/>
          <w:b w:val="0"/>
          <w:kern w:val="2"/>
          <w:sz w:val="32"/>
          <w:szCs w:val="22"/>
          <w:lang w:val="en-US" w:eastAsia="zh-CN" w:bidi="ar-SA"/>
        </w:rPr>
        <w:t>媒体</w:t>
      </w:r>
      <w:r>
        <w:rPr>
          <w:rFonts w:hint="eastAsia" w:ascii="方正仿宋_GBK" w:hAnsi="方正仿宋_GBK" w:eastAsia="方正仿宋_GBK" w:cs="方正仿宋_GBK"/>
          <w:b w:val="0"/>
          <w:kern w:val="2"/>
          <w:sz w:val="32"/>
          <w:szCs w:val="22"/>
          <w:lang w:val="en-US" w:eastAsia="zh-CN" w:bidi="ar-SA"/>
        </w:rPr>
        <w:t>开展立体式宣传，加强融合绿色生态理念的设计宣传推广。通过青年之声“找活动”栏目及时发布本地植树护绿活动信息，组织青少年线上互动，线下参与的融洽氛围。县级团委选择至少3-5个镇团委、村团支部结合实际开展活动。活动过程要注重亮出品牌，深化活动效果，扩大“保护母亲河”活动的社会影响。要注意保存活动图片、新闻报道、文字等资料，注重挖掘和宣传推广植树护绿、生态环保工作典型经验和做法，营造全民共建共享绿色生态的良好氛围。</w:t>
      </w:r>
    </w:p>
    <w:p>
      <w:pPr>
        <w:keepNext w:val="0"/>
        <w:keepLines w:val="0"/>
        <w:pageBreakBefore w:val="0"/>
        <w:widowControl/>
        <w:kinsoku/>
        <w:wordWrap/>
        <w:overflowPunct/>
        <w:topLinePunct w:val="0"/>
        <w:autoSpaceDE/>
        <w:bidi w:val="0"/>
        <w:adjustRightInd w:val="0"/>
        <w:snapToGrid/>
        <w:spacing w:line="540" w:lineRule="exact"/>
        <w:ind w:left="0" w:leftChars="0" w:right="0" w:rightChars="0" w:firstLine="624" w:firstLineChars="200"/>
        <w:jc w:val="left"/>
        <w:textAlignment w:val="auto"/>
        <w:rPr>
          <w:rFonts w:hint="eastAsia" w:ascii="方正仿宋_GBK" w:hAnsi="方正仿宋_GBK" w:eastAsia="方正仿宋_GBK" w:cs="方正仿宋_GBK"/>
          <w:sz w:val="32"/>
        </w:rPr>
      </w:pPr>
      <w:r>
        <w:rPr>
          <w:rFonts w:hint="eastAsia" w:ascii="方正仿宋_GBK" w:hAnsi="方正仿宋_GBK" w:eastAsia="方正仿宋_GBK" w:cs="方正仿宋_GBK"/>
          <w:color w:val="000000"/>
          <w:spacing w:val="-4"/>
          <w:sz w:val="32"/>
          <w:szCs w:val="32"/>
        </w:rPr>
        <w:t>各地市团委请根据本地实际情况选择适合项目开展活动，并将工作计划和工作总结（</w:t>
      </w:r>
      <w:r>
        <w:rPr>
          <w:rFonts w:hint="eastAsia" w:ascii="方正仿宋_GBK" w:hAnsi="方正仿宋_GBK" w:eastAsia="方正仿宋_GBK" w:cs="方正仿宋_GBK"/>
          <w:spacing w:val="-4"/>
          <w:sz w:val="32"/>
          <w:szCs w:val="32"/>
        </w:rPr>
        <w:t>活动情况统计表</w:t>
      </w:r>
      <w:r>
        <w:rPr>
          <w:rFonts w:hint="eastAsia" w:ascii="方正仿宋_GBK" w:hAnsi="方正仿宋_GBK" w:eastAsia="方正仿宋_GBK" w:cs="方正仿宋_GBK"/>
          <w:spacing w:val="-4"/>
          <w:sz w:val="32"/>
          <w:szCs w:val="32"/>
          <w:lang w:eastAsia="zh-CN"/>
        </w:rPr>
        <w:t>、</w:t>
      </w:r>
      <w:r>
        <w:rPr>
          <w:rFonts w:hint="eastAsia" w:ascii="方正仿宋_GBK" w:hAnsi="方正仿宋_GBK" w:eastAsia="方正仿宋_GBK" w:cs="方正仿宋_GBK"/>
          <w:color w:val="000000"/>
          <w:spacing w:val="-4"/>
          <w:sz w:val="32"/>
          <w:szCs w:val="32"/>
        </w:rPr>
        <w:t>活动图片、文字等材料）于</w:t>
      </w:r>
      <w:r>
        <w:rPr>
          <w:rFonts w:hint="eastAsia" w:ascii="方正仿宋_GBK" w:hAnsi="方正仿宋_GBK" w:eastAsia="方正仿宋_GBK" w:cs="方正仿宋_GBK"/>
          <w:color w:val="000000"/>
          <w:spacing w:val="-4"/>
          <w:sz w:val="32"/>
          <w:szCs w:val="32"/>
          <w:lang w:val="en-US" w:eastAsia="zh-CN"/>
        </w:rPr>
        <w:t>5</w:t>
      </w:r>
      <w:r>
        <w:rPr>
          <w:rFonts w:hint="eastAsia" w:ascii="方正仿宋_GBK" w:hAnsi="方正仿宋_GBK" w:eastAsia="方正仿宋_GBK" w:cs="方正仿宋_GBK"/>
          <w:color w:val="000000"/>
          <w:spacing w:val="-4"/>
          <w:sz w:val="32"/>
          <w:szCs w:val="32"/>
        </w:rPr>
        <w:t>月</w:t>
      </w:r>
      <w:r>
        <w:rPr>
          <w:rFonts w:hint="eastAsia" w:ascii="方正仿宋_GBK" w:hAnsi="方正仿宋_GBK" w:eastAsia="方正仿宋_GBK" w:cs="方正仿宋_GBK"/>
          <w:color w:val="000000"/>
          <w:spacing w:val="-4"/>
          <w:sz w:val="32"/>
          <w:szCs w:val="32"/>
          <w:lang w:val="en-US" w:eastAsia="zh-CN"/>
        </w:rPr>
        <w:t>3</w:t>
      </w:r>
      <w:r>
        <w:rPr>
          <w:rFonts w:hint="eastAsia" w:ascii="方正仿宋_GBK" w:hAnsi="方正仿宋_GBK" w:eastAsia="方正仿宋_GBK" w:cs="方正仿宋_GBK"/>
          <w:color w:val="000000"/>
          <w:spacing w:val="-4"/>
          <w:sz w:val="32"/>
          <w:szCs w:val="32"/>
        </w:rPr>
        <w:t>0日前</w:t>
      </w:r>
      <w:r>
        <w:rPr>
          <w:rFonts w:hint="eastAsia" w:ascii="方正仿宋_GBK" w:hAnsi="方正仿宋_GBK" w:eastAsia="方正仿宋_GBK" w:cs="方正仿宋_GBK"/>
          <w:color w:val="000000"/>
          <w:sz w:val="32"/>
          <w:szCs w:val="32"/>
        </w:rPr>
        <w:t>报送团省委青年发展部。</w:t>
      </w:r>
      <w:r>
        <w:rPr>
          <w:rFonts w:hint="eastAsia" w:ascii="方正仿宋_GBK" w:hAnsi="方正仿宋_GBK" w:eastAsia="方正仿宋_GBK" w:cs="方正仿宋_GBK"/>
          <w:sz w:val="32"/>
        </w:rPr>
        <w:t>此项工作纳入本年度广东共青团青年发展工作综合评价体系，请各单位予以重视。</w:t>
      </w:r>
    </w:p>
    <w:p>
      <w:pPr>
        <w:keepNext w:val="0"/>
        <w:keepLines w:val="0"/>
        <w:pageBreakBefore w:val="0"/>
        <w:widowControl/>
        <w:kinsoku/>
        <w:wordWrap/>
        <w:overflowPunct/>
        <w:topLinePunct w:val="0"/>
        <w:autoSpaceDE/>
        <w:bidi w:val="0"/>
        <w:adjustRightInd w:val="0"/>
        <w:snapToGrid/>
        <w:spacing w:line="540" w:lineRule="exact"/>
        <w:ind w:left="0" w:leftChars="0" w:right="0" w:rightChars="0" w:firstLine="640" w:firstLineChars="200"/>
        <w:jc w:val="left"/>
        <w:textAlignment w:val="auto"/>
        <w:rPr>
          <w:rFonts w:hint="eastAsia" w:ascii="方正仿宋_GBK" w:hAnsi="方正仿宋_GBK" w:eastAsia="方正仿宋_GBK" w:cs="方正仿宋_GBK"/>
          <w:sz w:val="32"/>
        </w:rPr>
      </w:pPr>
    </w:p>
    <w:p>
      <w:pPr>
        <w:keepNext w:val="0"/>
        <w:keepLines w:val="0"/>
        <w:pageBreakBefore w:val="0"/>
        <w:widowControl/>
        <w:kinsoku/>
        <w:wordWrap/>
        <w:overflowPunct/>
        <w:topLinePunct w:val="0"/>
        <w:autoSpaceDE/>
        <w:bidi w:val="0"/>
        <w:adjustRightInd w:val="0"/>
        <w:snapToGrid/>
        <w:spacing w:line="540" w:lineRule="exact"/>
        <w:ind w:left="0" w:leftChars="0" w:right="0" w:rightChars="0" w:firstLine="624" w:firstLineChars="200"/>
        <w:jc w:val="left"/>
        <w:textAlignment w:val="auto"/>
        <w:rPr>
          <w:rFonts w:hint="eastAsia" w:ascii="方正仿宋_GBK" w:hAnsi="方正仿宋_GBK" w:eastAsia="方正仿宋_GBK" w:cs="方正仿宋_GBK"/>
          <w:color w:val="000000"/>
          <w:spacing w:val="-4"/>
          <w:sz w:val="32"/>
          <w:szCs w:val="32"/>
          <w:lang w:val="en-US" w:eastAsia="zh-CN"/>
        </w:rPr>
      </w:pPr>
      <w:r>
        <w:rPr>
          <w:rFonts w:hint="eastAsia" w:ascii="方正仿宋_GBK" w:hAnsi="方正仿宋_GBK" w:eastAsia="方正仿宋_GBK" w:cs="方正仿宋_GBK"/>
          <w:color w:val="000000"/>
          <w:spacing w:val="-4"/>
          <w:sz w:val="32"/>
          <w:szCs w:val="32"/>
        </w:rPr>
        <w:t>附件：</w:t>
      </w:r>
      <w:r>
        <w:rPr>
          <w:rFonts w:hint="eastAsia" w:ascii="方正仿宋_GBK" w:hAnsi="方正仿宋_GBK" w:eastAsia="方正仿宋_GBK" w:cs="方正仿宋_GBK"/>
          <w:color w:val="000000"/>
          <w:spacing w:val="-4"/>
          <w:sz w:val="32"/>
          <w:szCs w:val="32"/>
          <w:lang w:val="en-US" w:eastAsia="zh-CN"/>
        </w:rPr>
        <w:t>2018年春季广东青少年生态环保工作统计汇总表</w:t>
      </w:r>
    </w:p>
    <w:p>
      <w:pPr>
        <w:keepNext w:val="0"/>
        <w:keepLines w:val="0"/>
        <w:pageBreakBefore w:val="0"/>
        <w:kinsoku/>
        <w:wordWrap/>
        <w:overflowPunct/>
        <w:topLinePunct w:val="0"/>
        <w:autoSpaceDE/>
        <w:bidi w:val="0"/>
        <w:snapToGrid/>
        <w:spacing w:line="540" w:lineRule="exact"/>
        <w:ind w:left="0" w:leftChars="0" w:right="0" w:rightChars="0"/>
        <w:textAlignment w:val="auto"/>
        <w:rPr>
          <w:rFonts w:ascii="方正仿宋_GBK" w:hAnsi="方正仿宋_GBK" w:eastAsia="方正仿宋_GBK" w:cs="方正仿宋_GBK"/>
          <w:color w:val="000000"/>
          <w:sz w:val="32"/>
        </w:rPr>
      </w:pPr>
    </w:p>
    <w:p>
      <w:pPr>
        <w:keepNext w:val="0"/>
        <w:keepLines w:val="0"/>
        <w:pageBreakBefore w:val="0"/>
        <w:kinsoku/>
        <w:wordWrap/>
        <w:overflowPunct/>
        <w:topLinePunct w:val="0"/>
        <w:autoSpaceDE/>
        <w:bidi w:val="0"/>
        <w:snapToGrid/>
        <w:spacing w:line="540" w:lineRule="exact"/>
        <w:ind w:left="0" w:leftChars="0" w:right="0" w:rightChars="0" w:firstLine="640" w:firstLineChars="200"/>
        <w:textAlignment w:val="auto"/>
        <w:rPr>
          <w:rFonts w:ascii="方正仿宋_GBK" w:hAnsi="方正仿宋_GBK" w:eastAsia="方正仿宋_GBK" w:cs="方正仿宋_GBK"/>
          <w:color w:val="000000"/>
          <w:sz w:val="32"/>
        </w:rPr>
      </w:pPr>
    </w:p>
    <w:p>
      <w:pPr>
        <w:keepNext w:val="0"/>
        <w:keepLines w:val="0"/>
        <w:pageBreakBefore w:val="0"/>
        <w:kinsoku/>
        <w:wordWrap/>
        <w:overflowPunct/>
        <w:topLinePunct w:val="0"/>
        <w:autoSpaceDE/>
        <w:bidi w:val="0"/>
        <w:snapToGrid/>
        <w:spacing w:line="540" w:lineRule="exact"/>
        <w:ind w:left="0" w:leftChars="0" w:right="0" w:rightChars="0" w:firstLine="640" w:firstLineChars="200"/>
        <w:textAlignment w:val="auto"/>
        <w:rPr>
          <w:rFonts w:ascii="方正仿宋_GBK" w:hAnsi="方正仿宋_GBK" w:eastAsia="方正仿宋_GBK" w:cs="方正仿宋_GBK"/>
          <w:color w:val="000000"/>
          <w:sz w:val="32"/>
        </w:rPr>
      </w:pPr>
      <w:r>
        <w:rPr>
          <w:rFonts w:hint="eastAsia" w:ascii="方正仿宋_GBK" w:hAnsi="方正仿宋_GBK" w:eastAsia="方正仿宋_GBK" w:cs="方正仿宋_GBK"/>
          <w:color w:val="000000"/>
          <w:sz w:val="32"/>
        </w:rPr>
        <w:t>联系人：苏跃飞、欧凤兰</w:t>
      </w:r>
    </w:p>
    <w:p>
      <w:pPr>
        <w:keepNext w:val="0"/>
        <w:keepLines w:val="0"/>
        <w:pageBreakBefore w:val="0"/>
        <w:kinsoku/>
        <w:wordWrap/>
        <w:overflowPunct/>
        <w:topLinePunct w:val="0"/>
        <w:autoSpaceDE/>
        <w:bidi w:val="0"/>
        <w:snapToGrid/>
        <w:spacing w:line="540" w:lineRule="exact"/>
        <w:ind w:left="0" w:leftChars="0" w:right="0" w:rightChars="0" w:firstLine="640" w:firstLineChars="200"/>
        <w:textAlignment w:val="auto"/>
        <w:rPr>
          <w:rFonts w:ascii="方正仿宋_GBK" w:hAnsi="方正仿宋_GBK" w:eastAsia="方正仿宋_GBK" w:cs="方正仿宋_GBK"/>
          <w:color w:val="000000"/>
          <w:sz w:val="32"/>
        </w:rPr>
      </w:pPr>
      <w:r>
        <w:rPr>
          <w:rFonts w:hint="eastAsia" w:ascii="方正仿宋_GBK" w:hAnsi="方正仿宋_GBK" w:eastAsia="方正仿宋_GBK" w:cs="方正仿宋_GBK"/>
          <w:color w:val="000000"/>
          <w:sz w:val="32"/>
        </w:rPr>
        <w:t>联系电话：020-87195623</w:t>
      </w:r>
    </w:p>
    <w:p>
      <w:pPr>
        <w:keepNext w:val="0"/>
        <w:keepLines w:val="0"/>
        <w:pageBreakBefore w:val="0"/>
        <w:widowControl/>
        <w:kinsoku/>
        <w:wordWrap/>
        <w:overflowPunct/>
        <w:topLinePunct w:val="0"/>
        <w:autoSpaceDE/>
        <w:bidi w:val="0"/>
        <w:adjustRightInd w:val="0"/>
        <w:snapToGrid/>
        <w:spacing w:line="540" w:lineRule="exact"/>
        <w:ind w:left="0" w:leftChars="0" w:right="0" w:rightChars="0" w:firstLine="640" w:firstLineChars="200"/>
        <w:textAlignment w:val="auto"/>
        <w:rPr>
          <w:rStyle w:val="8"/>
          <w:rFonts w:hint="eastAsia" w:ascii="方正仿宋_GBK" w:hAnsi="方正仿宋_GBK" w:eastAsia="方正仿宋_GBK" w:cs="方正仿宋_GBK"/>
          <w:color w:val="000000"/>
          <w:sz w:val="32"/>
          <w:u w:val="none"/>
        </w:rPr>
      </w:pPr>
      <w:r>
        <w:rPr>
          <w:rFonts w:hint="eastAsia" w:ascii="方正仿宋_GBK" w:hAnsi="方正仿宋_GBK" w:eastAsia="方正仿宋_GBK" w:cs="方正仿宋_GBK"/>
          <w:color w:val="000000"/>
          <w:sz w:val="32"/>
        </w:rPr>
        <w:t>联系邮箱：</w:t>
      </w:r>
      <w:r>
        <w:fldChar w:fldCharType="begin"/>
      </w:r>
      <w:r>
        <w:instrText xml:space="preserve"> HYPERLINK "mailto:tswgdqnb@163.com" </w:instrText>
      </w:r>
      <w:r>
        <w:fldChar w:fldCharType="separate"/>
      </w:r>
      <w:r>
        <w:rPr>
          <w:rStyle w:val="8"/>
          <w:rFonts w:hint="eastAsia" w:ascii="方正仿宋_GBK" w:hAnsi="方正仿宋_GBK" w:eastAsia="方正仿宋_GBK" w:cs="方正仿宋_GBK"/>
          <w:color w:val="000000"/>
          <w:sz w:val="32"/>
          <w:u w:val="none"/>
        </w:rPr>
        <w:t>tswgdq</w:t>
      </w:r>
      <w:r>
        <w:rPr>
          <w:rStyle w:val="8"/>
          <w:rFonts w:hint="eastAsia" w:ascii="方正仿宋_GBK" w:hAnsi="方正仿宋_GBK" w:eastAsia="方正仿宋_GBK" w:cs="方正仿宋_GBK"/>
          <w:color w:val="000000"/>
          <w:sz w:val="32"/>
          <w:u w:val="none"/>
          <w:lang w:val="en-US" w:eastAsia="zh-CN"/>
        </w:rPr>
        <w:t>f</w:t>
      </w:r>
      <w:r>
        <w:rPr>
          <w:rStyle w:val="8"/>
          <w:rFonts w:hint="eastAsia" w:ascii="方正仿宋_GBK" w:hAnsi="方正仿宋_GBK" w:eastAsia="方正仿宋_GBK" w:cs="方正仿宋_GBK"/>
          <w:color w:val="000000"/>
          <w:sz w:val="32"/>
          <w:u w:val="none"/>
        </w:rPr>
        <w:t>b@163.com</w:t>
      </w:r>
      <w:r>
        <w:rPr>
          <w:rStyle w:val="8"/>
          <w:rFonts w:hint="eastAsia" w:ascii="方正仿宋_GBK" w:hAnsi="方正仿宋_GBK" w:eastAsia="方正仿宋_GBK" w:cs="方正仿宋_GBK"/>
          <w:color w:val="000000"/>
          <w:sz w:val="32"/>
          <w:u w:val="none"/>
        </w:rPr>
        <w:fldChar w:fldCharType="end"/>
      </w:r>
    </w:p>
    <w:p>
      <w:pPr>
        <w:keepNext w:val="0"/>
        <w:keepLines w:val="0"/>
        <w:pageBreakBefore w:val="0"/>
        <w:widowControl/>
        <w:kinsoku/>
        <w:wordWrap/>
        <w:overflowPunct/>
        <w:topLinePunct w:val="0"/>
        <w:autoSpaceDE/>
        <w:bidi w:val="0"/>
        <w:adjustRightInd w:val="0"/>
        <w:snapToGrid/>
        <w:spacing w:line="540" w:lineRule="exact"/>
        <w:ind w:left="0" w:leftChars="0" w:right="0" w:rightChars="0" w:firstLine="640" w:firstLineChars="200"/>
        <w:textAlignment w:val="auto"/>
        <w:rPr>
          <w:rStyle w:val="8"/>
          <w:rFonts w:hint="eastAsia" w:ascii="方正仿宋_GBK" w:hAnsi="方正仿宋_GBK" w:eastAsia="方正仿宋_GBK" w:cs="方正仿宋_GBK"/>
          <w:color w:val="000000"/>
          <w:sz w:val="32"/>
          <w:u w:val="none"/>
        </w:rPr>
      </w:pPr>
    </w:p>
    <w:p>
      <w:pPr>
        <w:keepNext w:val="0"/>
        <w:keepLines w:val="0"/>
        <w:pageBreakBefore w:val="0"/>
        <w:widowControl/>
        <w:kinsoku/>
        <w:wordWrap/>
        <w:overflowPunct/>
        <w:topLinePunct w:val="0"/>
        <w:autoSpaceDE/>
        <w:bidi w:val="0"/>
        <w:adjustRightInd w:val="0"/>
        <w:snapToGrid/>
        <w:spacing w:line="540" w:lineRule="exact"/>
        <w:ind w:left="0" w:leftChars="0" w:right="0" w:rightChars="0" w:firstLine="640" w:firstLineChars="200"/>
        <w:textAlignment w:val="auto"/>
        <w:rPr>
          <w:rFonts w:ascii="方正仿宋_GBK" w:hAnsi="方正仿宋_GBK" w:eastAsia="方正仿宋_GBK" w:cs="方正仿宋_GBK"/>
          <w:color w:val="000000"/>
          <w:sz w:val="32"/>
        </w:rPr>
      </w:pPr>
    </w:p>
    <w:p>
      <w:pPr>
        <w:keepNext w:val="0"/>
        <w:keepLines w:val="0"/>
        <w:pageBreakBefore w:val="0"/>
        <w:kinsoku/>
        <w:wordWrap/>
        <w:overflowPunct/>
        <w:topLinePunct w:val="0"/>
        <w:autoSpaceDE/>
        <w:autoSpaceDN w:val="0"/>
        <w:bidi w:val="0"/>
        <w:snapToGrid/>
        <w:spacing w:line="540" w:lineRule="exact"/>
        <w:ind w:left="0" w:leftChars="0" w:right="0" w:rightChars="0" w:firstLine="616" w:firstLineChars="200"/>
        <w:jc w:val="center"/>
        <w:textAlignment w:val="auto"/>
        <w:rPr>
          <w:rFonts w:ascii="方正仿宋_GBK" w:hAnsi="方正仿宋_GBK" w:eastAsia="方正仿宋_GBK" w:cs="方正仿宋_GBK"/>
          <w:color w:val="000000"/>
          <w:spacing w:val="-6"/>
          <w:sz w:val="32"/>
        </w:rPr>
      </w:pPr>
      <w:r>
        <w:rPr>
          <w:rFonts w:hint="eastAsia" w:ascii="方正仿宋_GBK" w:hAnsi="方正仿宋_GBK" w:eastAsia="方正仿宋_GBK" w:cs="方正仿宋_GBK"/>
          <w:color w:val="000000"/>
          <w:spacing w:val="-6"/>
          <w:sz w:val="32"/>
        </w:rPr>
        <w:t>共青团广东省委员会         广东省绿化委员会</w:t>
      </w:r>
    </w:p>
    <w:p>
      <w:pPr>
        <w:keepNext w:val="0"/>
        <w:keepLines w:val="0"/>
        <w:pageBreakBefore w:val="0"/>
        <w:kinsoku/>
        <w:wordWrap/>
        <w:overflowPunct/>
        <w:topLinePunct w:val="0"/>
        <w:autoSpaceDE/>
        <w:autoSpaceDN w:val="0"/>
        <w:bidi w:val="0"/>
        <w:snapToGrid/>
        <w:spacing w:line="540" w:lineRule="exact"/>
        <w:ind w:left="0" w:leftChars="0" w:right="0" w:rightChars="0"/>
        <w:jc w:val="center"/>
        <w:textAlignment w:val="auto"/>
        <w:rPr>
          <w:rFonts w:ascii="方正仿宋_GBK" w:hAnsi="方正仿宋_GBK" w:eastAsia="方正仿宋_GBK" w:cs="方正仿宋_GBK"/>
          <w:color w:val="000000"/>
          <w:spacing w:val="-6"/>
          <w:sz w:val="32"/>
        </w:rPr>
      </w:pPr>
    </w:p>
    <w:p>
      <w:pPr>
        <w:keepNext w:val="0"/>
        <w:keepLines w:val="0"/>
        <w:pageBreakBefore w:val="0"/>
        <w:kinsoku/>
        <w:wordWrap/>
        <w:overflowPunct/>
        <w:topLinePunct w:val="0"/>
        <w:autoSpaceDE/>
        <w:autoSpaceDN w:val="0"/>
        <w:bidi w:val="0"/>
        <w:snapToGrid/>
        <w:spacing w:line="540" w:lineRule="exact"/>
        <w:ind w:left="0" w:leftChars="0" w:right="0" w:rightChars="0"/>
        <w:jc w:val="center"/>
        <w:textAlignment w:val="auto"/>
        <w:rPr>
          <w:rFonts w:ascii="方正仿宋_GBK" w:hAnsi="方正仿宋_GBK" w:eastAsia="方正仿宋_GBK" w:cs="方正仿宋_GBK"/>
          <w:color w:val="000000"/>
          <w:spacing w:val="-6"/>
          <w:sz w:val="32"/>
        </w:rPr>
      </w:pPr>
    </w:p>
    <w:p>
      <w:pPr>
        <w:keepNext w:val="0"/>
        <w:keepLines w:val="0"/>
        <w:pageBreakBefore w:val="0"/>
        <w:kinsoku/>
        <w:wordWrap/>
        <w:overflowPunct/>
        <w:topLinePunct w:val="0"/>
        <w:autoSpaceDE/>
        <w:autoSpaceDN w:val="0"/>
        <w:bidi w:val="0"/>
        <w:snapToGrid/>
        <w:spacing w:line="540" w:lineRule="exact"/>
        <w:ind w:left="0" w:leftChars="0" w:right="0" w:rightChars="0" w:firstLine="1540" w:firstLineChars="500"/>
        <w:textAlignment w:val="auto"/>
        <w:rPr>
          <w:rFonts w:ascii="方正仿宋_GBK" w:hAnsi="方正仿宋_GBK" w:eastAsia="方正仿宋_GBK" w:cs="方正仿宋_GBK"/>
          <w:color w:val="000000"/>
          <w:spacing w:val="-6"/>
          <w:sz w:val="32"/>
        </w:rPr>
      </w:pPr>
      <w:r>
        <w:rPr>
          <w:rFonts w:hint="eastAsia" w:ascii="方正仿宋_GBK" w:hAnsi="方正仿宋_GBK" w:eastAsia="方正仿宋_GBK" w:cs="方正仿宋_GBK"/>
          <w:color w:val="000000"/>
          <w:spacing w:val="-6"/>
          <w:sz w:val="32"/>
        </w:rPr>
        <w:t xml:space="preserve">广东省环保厅         </w:t>
      </w:r>
      <w:r>
        <w:rPr>
          <w:rFonts w:hint="eastAsia" w:ascii="方正仿宋_GBK" w:hAnsi="方正仿宋_GBK" w:eastAsia="方正仿宋_GBK" w:cs="方正仿宋_GBK"/>
          <w:color w:val="000000"/>
          <w:spacing w:val="-6"/>
          <w:sz w:val="32"/>
          <w:lang w:val="en-US" w:eastAsia="zh-CN"/>
        </w:rPr>
        <w:t xml:space="preserve">   </w:t>
      </w:r>
      <w:r>
        <w:rPr>
          <w:rFonts w:hint="eastAsia" w:ascii="方正仿宋_GBK" w:hAnsi="方正仿宋_GBK" w:eastAsia="方正仿宋_GBK" w:cs="方正仿宋_GBK"/>
          <w:color w:val="000000"/>
          <w:spacing w:val="-6"/>
          <w:sz w:val="32"/>
        </w:rPr>
        <w:t xml:space="preserve"> 广东省水利厅</w:t>
      </w:r>
    </w:p>
    <w:p>
      <w:pPr>
        <w:keepNext w:val="0"/>
        <w:keepLines w:val="0"/>
        <w:pageBreakBefore w:val="0"/>
        <w:kinsoku/>
        <w:wordWrap/>
        <w:overflowPunct/>
        <w:topLinePunct w:val="0"/>
        <w:autoSpaceDE/>
        <w:autoSpaceDN w:val="0"/>
        <w:bidi w:val="0"/>
        <w:snapToGrid/>
        <w:spacing w:line="540" w:lineRule="exact"/>
        <w:ind w:left="0" w:leftChars="0" w:right="0" w:rightChars="0"/>
        <w:textAlignment w:val="auto"/>
        <w:rPr>
          <w:rFonts w:ascii="方正仿宋_GBK" w:hAnsi="方正仿宋_GBK" w:eastAsia="方正仿宋_GBK" w:cs="方正仿宋_GBK"/>
          <w:color w:val="000000"/>
          <w:spacing w:val="-6"/>
          <w:sz w:val="32"/>
        </w:rPr>
      </w:pPr>
    </w:p>
    <w:p>
      <w:pPr>
        <w:keepNext w:val="0"/>
        <w:keepLines w:val="0"/>
        <w:pageBreakBefore w:val="0"/>
        <w:kinsoku/>
        <w:wordWrap/>
        <w:overflowPunct/>
        <w:topLinePunct w:val="0"/>
        <w:autoSpaceDE/>
        <w:autoSpaceDN w:val="0"/>
        <w:bidi w:val="0"/>
        <w:snapToGrid/>
        <w:spacing w:line="540" w:lineRule="exact"/>
        <w:ind w:left="0" w:leftChars="0" w:right="0" w:rightChars="0"/>
        <w:textAlignment w:val="auto"/>
        <w:rPr>
          <w:rFonts w:ascii="方正仿宋_GBK" w:hAnsi="方正仿宋_GBK" w:eastAsia="方正仿宋_GBK" w:cs="方正仿宋_GBK"/>
          <w:color w:val="000000"/>
          <w:spacing w:val="-6"/>
          <w:sz w:val="32"/>
        </w:rPr>
      </w:pPr>
    </w:p>
    <w:p>
      <w:pPr>
        <w:keepNext w:val="0"/>
        <w:keepLines w:val="0"/>
        <w:pageBreakBefore w:val="0"/>
        <w:kinsoku/>
        <w:wordWrap/>
        <w:overflowPunct/>
        <w:topLinePunct w:val="0"/>
        <w:autoSpaceDE/>
        <w:autoSpaceDN w:val="0"/>
        <w:bidi w:val="0"/>
        <w:snapToGrid/>
        <w:spacing w:line="540" w:lineRule="exact"/>
        <w:ind w:left="0" w:leftChars="0" w:right="0" w:rightChars="0" w:firstLine="3388" w:firstLineChars="1100"/>
        <w:textAlignment w:val="auto"/>
        <w:rPr>
          <w:rFonts w:ascii="方正仿宋_GBK" w:hAnsi="方正仿宋_GBK" w:eastAsia="方正仿宋_GBK" w:cs="方正仿宋_GBK"/>
          <w:color w:val="000000"/>
          <w:spacing w:val="-6"/>
          <w:sz w:val="32"/>
        </w:rPr>
      </w:pPr>
      <w:r>
        <w:rPr>
          <w:rFonts w:hint="eastAsia" w:ascii="方正仿宋_GBK" w:hAnsi="方正仿宋_GBK" w:eastAsia="方正仿宋_GBK" w:cs="方正仿宋_GBK"/>
          <w:color w:val="000000"/>
          <w:spacing w:val="-6"/>
          <w:sz w:val="32"/>
        </w:rPr>
        <w:t>广东省林业厅</w:t>
      </w:r>
    </w:p>
    <w:p>
      <w:pPr>
        <w:keepNext w:val="0"/>
        <w:keepLines w:val="0"/>
        <w:pageBreakBefore w:val="0"/>
        <w:kinsoku/>
        <w:wordWrap/>
        <w:overflowPunct/>
        <w:topLinePunct w:val="0"/>
        <w:autoSpaceDE/>
        <w:bidi w:val="0"/>
        <w:snapToGrid/>
        <w:spacing w:line="540" w:lineRule="exact"/>
        <w:ind w:left="0" w:leftChars="0" w:right="0" w:rightChars="0"/>
        <w:jc w:val="center"/>
        <w:textAlignment w:val="auto"/>
        <w:rPr>
          <w:rFonts w:ascii="方正仿宋_GBK" w:hAnsi="方正仿宋_GBK" w:eastAsia="方正仿宋_GBK" w:cs="方正仿宋_GBK"/>
          <w:color w:val="000000"/>
          <w:spacing w:val="-4"/>
          <w:sz w:val="32"/>
          <w:szCs w:val="32"/>
        </w:rPr>
      </w:pPr>
    </w:p>
    <w:p>
      <w:pPr>
        <w:keepNext w:val="0"/>
        <w:keepLines w:val="0"/>
        <w:pageBreakBefore w:val="0"/>
        <w:kinsoku/>
        <w:wordWrap/>
        <w:overflowPunct/>
        <w:topLinePunct w:val="0"/>
        <w:autoSpaceDE/>
        <w:bidi w:val="0"/>
        <w:snapToGrid/>
        <w:spacing w:line="540" w:lineRule="exact"/>
        <w:ind w:left="0" w:leftChars="0" w:right="0" w:rightChars="0"/>
        <w:jc w:val="center"/>
        <w:textAlignment w:val="auto"/>
        <w:rPr>
          <w:rFonts w:ascii="方正仿宋_GBK" w:hAnsi="方正仿宋_GBK" w:eastAsia="方正仿宋_GBK" w:cs="方正仿宋_GBK"/>
          <w:color w:val="000000"/>
          <w:spacing w:val="-4"/>
          <w:sz w:val="32"/>
          <w:szCs w:val="32"/>
        </w:rPr>
      </w:pPr>
    </w:p>
    <w:p>
      <w:pPr>
        <w:keepNext w:val="0"/>
        <w:keepLines w:val="0"/>
        <w:pageBreakBefore w:val="0"/>
        <w:kinsoku/>
        <w:wordWrap/>
        <w:overflowPunct/>
        <w:topLinePunct w:val="0"/>
        <w:autoSpaceDE/>
        <w:bidi w:val="0"/>
        <w:snapToGrid/>
        <w:spacing w:line="540" w:lineRule="exact"/>
        <w:ind w:left="0" w:leftChars="0" w:right="0" w:rightChars="0" w:firstLine="3120" w:firstLineChars="1000"/>
        <w:textAlignment w:val="auto"/>
      </w:pPr>
      <w:r>
        <w:rPr>
          <w:rFonts w:hint="eastAsia" w:ascii="方正仿宋_GBK" w:hAnsi="方正仿宋_GBK" w:eastAsia="方正仿宋_GBK" w:cs="方正仿宋_GBK"/>
          <w:color w:val="000000"/>
          <w:spacing w:val="-4"/>
          <w:sz w:val="32"/>
          <w:szCs w:val="32"/>
        </w:rPr>
        <w:t>2018年3月</w:t>
      </w:r>
      <w:r>
        <w:rPr>
          <w:rFonts w:hint="eastAsia" w:ascii="方正仿宋_GBK" w:hAnsi="方正仿宋_GBK" w:eastAsia="方正仿宋_GBK" w:cs="方正仿宋_GBK"/>
          <w:color w:val="000000"/>
          <w:spacing w:val="-4"/>
          <w:sz w:val="32"/>
          <w:szCs w:val="32"/>
          <w:lang w:val="en-US" w:eastAsia="zh-CN"/>
        </w:rPr>
        <w:t>29</w:t>
      </w:r>
      <w:r>
        <w:rPr>
          <w:rFonts w:hint="eastAsia" w:ascii="方正仿宋_GBK" w:hAnsi="方正仿宋_GBK" w:eastAsia="方正仿宋_GBK" w:cs="方正仿宋_GBK"/>
          <w:color w:val="000000"/>
          <w:spacing w:val="-4"/>
          <w:sz w:val="32"/>
          <w:szCs w:val="32"/>
        </w:rPr>
        <w:t>日</w:t>
      </w:r>
    </w:p>
    <w:p>
      <w:pPr>
        <w:keepNext w:val="0"/>
        <w:keepLines w:val="0"/>
        <w:pageBreakBefore w:val="0"/>
        <w:kinsoku/>
        <w:wordWrap/>
        <w:overflowPunct/>
        <w:topLinePunct w:val="0"/>
        <w:autoSpaceDE/>
        <w:bidi w:val="0"/>
        <w:snapToGrid/>
        <w:spacing w:line="540" w:lineRule="exact"/>
        <w:ind w:left="0" w:leftChars="0" w:right="0" w:rightChars="0" w:firstLine="2808" w:firstLineChars="900"/>
        <w:textAlignment w:val="auto"/>
        <w:rPr>
          <w:rFonts w:hint="eastAsia" w:ascii="方正仿宋_GBK" w:hAnsi="方正仿宋_GBK" w:eastAsia="方正仿宋_GBK" w:cs="方正仿宋_GBK"/>
          <w:color w:val="000000"/>
          <w:spacing w:val="-4"/>
          <w:sz w:val="32"/>
          <w:szCs w:val="32"/>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jc w:val="left"/>
        <w:rPr>
          <w:rFonts w:hint="eastAsia" w:ascii="黑体" w:hAnsi="黑体" w:eastAsia="黑体" w:cs="黑体"/>
          <w:i w:val="0"/>
          <w:color w:val="000000"/>
          <w:kern w:val="0"/>
          <w:sz w:val="28"/>
          <w:szCs w:val="28"/>
          <w:u w:val="none"/>
          <w:lang w:val="en-US" w:eastAsia="zh-CN" w:bidi="ar"/>
        </w:rPr>
      </w:pPr>
      <w:r>
        <w:rPr>
          <w:rFonts w:hint="eastAsia" w:ascii="黑体" w:hAnsi="黑体" w:eastAsia="黑体" w:cs="黑体"/>
          <w:i w:val="0"/>
          <w:color w:val="000000"/>
          <w:kern w:val="0"/>
          <w:sz w:val="28"/>
          <w:szCs w:val="28"/>
          <w:u w:val="none"/>
          <w:lang w:val="en-US" w:eastAsia="zh-CN" w:bidi="ar"/>
        </w:rPr>
        <w:t>附件</w:t>
      </w:r>
    </w:p>
    <w:p>
      <w:pPr>
        <w:ind w:firstLine="880" w:firstLineChars="200"/>
        <w:jc w:val="center"/>
        <w:rPr>
          <w:rFonts w:hint="eastAsia" w:ascii="方正小标宋简体" w:hAnsi="方正小标宋简体" w:eastAsia="方正小标宋简体" w:cs="方正小标宋简体"/>
          <w:i w:val="0"/>
          <w:color w:val="000000"/>
          <w:kern w:val="0"/>
          <w:sz w:val="44"/>
          <w:szCs w:val="44"/>
          <w:u w:val="none"/>
          <w:lang w:val="en-US" w:eastAsia="zh-CN" w:bidi="ar"/>
        </w:rPr>
      </w:pPr>
      <w:r>
        <w:rPr>
          <w:rFonts w:hint="eastAsia" w:ascii="方正小标宋简体" w:hAnsi="方正小标宋简体" w:eastAsia="方正小标宋简体" w:cs="方正小标宋简体"/>
          <w:i w:val="0"/>
          <w:color w:val="000000"/>
          <w:kern w:val="0"/>
          <w:sz w:val="44"/>
          <w:szCs w:val="44"/>
          <w:u w:val="none"/>
          <w:lang w:val="en-US" w:eastAsia="zh-CN" w:bidi="ar"/>
        </w:rPr>
        <w:t>2018年春季广东青少年生态环保工作统计汇总表</w:t>
      </w:r>
    </w:p>
    <w:p>
      <w:pPr>
        <w:jc w:val="both"/>
        <w:rPr>
          <w:rFonts w:hint="eastAsia" w:ascii="方正小标宋简体" w:hAnsi="方正小标宋简体" w:eastAsia="方正小标宋简体" w:cs="方正小标宋简体"/>
          <w:i w:val="0"/>
          <w:color w:val="000000"/>
          <w:kern w:val="0"/>
          <w:sz w:val="15"/>
          <w:szCs w:val="15"/>
          <w:u w:val="none"/>
          <w:lang w:val="en-US" w:eastAsia="zh-CN" w:bidi="ar"/>
        </w:rPr>
      </w:pPr>
    </w:p>
    <w:p>
      <w:pPr>
        <w:jc w:val="left"/>
        <w:rPr>
          <w:rFonts w:hint="eastAsia" w:ascii="黑体" w:hAnsi="黑体" w:eastAsia="黑体" w:cs="黑体"/>
          <w:i w:val="0"/>
          <w:color w:val="000000"/>
          <w:kern w:val="0"/>
          <w:sz w:val="28"/>
          <w:szCs w:val="28"/>
          <w:u w:val="single"/>
          <w:lang w:val="en-US" w:eastAsia="zh-CN" w:bidi="ar"/>
        </w:rPr>
      </w:pPr>
      <w:r>
        <w:rPr>
          <w:rFonts w:hint="eastAsia" w:ascii="黑体" w:hAnsi="黑体" w:eastAsia="黑体" w:cs="黑体"/>
          <w:i w:val="0"/>
          <w:color w:val="000000"/>
          <w:kern w:val="0"/>
          <w:sz w:val="28"/>
          <w:szCs w:val="28"/>
          <w:u w:val="none"/>
          <w:lang w:val="en-US" w:eastAsia="zh-CN" w:bidi="ar"/>
        </w:rPr>
        <w:t>填报单位</w:t>
      </w:r>
      <w:r>
        <w:rPr>
          <w:rFonts w:hint="eastAsia" w:ascii="黑体" w:hAnsi="黑体" w:eastAsia="黑体" w:cs="黑体"/>
          <w:i w:val="0"/>
          <w:color w:val="000000"/>
          <w:kern w:val="0"/>
          <w:sz w:val="28"/>
          <w:szCs w:val="28"/>
          <w:u w:val="single"/>
          <w:lang w:val="en-US" w:eastAsia="zh-CN" w:bidi="ar"/>
        </w:rPr>
        <w:t>：               （</w:t>
      </w:r>
      <w:r>
        <w:rPr>
          <w:rFonts w:hint="eastAsia" w:ascii="黑体" w:hAnsi="黑体" w:eastAsia="黑体" w:cs="黑体"/>
          <w:i w:val="0"/>
          <w:color w:val="000000"/>
          <w:kern w:val="0"/>
          <w:sz w:val="28"/>
          <w:szCs w:val="28"/>
          <w:u w:val="none"/>
          <w:lang w:val="en-US" w:eastAsia="zh-CN" w:bidi="ar"/>
        </w:rPr>
        <w:t>盖章）       联系人及方式</w:t>
      </w:r>
      <w:r>
        <w:rPr>
          <w:rFonts w:hint="eastAsia" w:ascii="黑体" w:hAnsi="黑体" w:eastAsia="黑体" w:cs="黑体"/>
          <w:i w:val="0"/>
          <w:color w:val="000000"/>
          <w:kern w:val="0"/>
          <w:sz w:val="28"/>
          <w:szCs w:val="28"/>
          <w:u w:val="single"/>
          <w:lang w:val="en-US" w:eastAsia="zh-CN" w:bidi="ar"/>
        </w:rPr>
        <w:t xml:space="preserve">：                   </w:t>
      </w:r>
      <w:r>
        <w:rPr>
          <w:rFonts w:hint="eastAsia" w:ascii="黑体" w:hAnsi="黑体" w:eastAsia="黑体" w:cs="黑体"/>
          <w:i w:val="0"/>
          <w:color w:val="000000"/>
          <w:kern w:val="0"/>
          <w:sz w:val="28"/>
          <w:szCs w:val="28"/>
          <w:u w:val="none"/>
          <w:lang w:val="en-US" w:eastAsia="zh-CN" w:bidi="ar"/>
        </w:rPr>
        <w:t xml:space="preserve">    填报日期：</w:t>
      </w:r>
      <w:r>
        <w:rPr>
          <w:rFonts w:hint="eastAsia" w:ascii="黑体" w:hAnsi="黑体" w:eastAsia="黑体" w:cs="黑体"/>
          <w:i w:val="0"/>
          <w:color w:val="000000"/>
          <w:kern w:val="0"/>
          <w:sz w:val="28"/>
          <w:szCs w:val="28"/>
          <w:u w:val="single"/>
          <w:lang w:val="en-US" w:eastAsia="zh-CN" w:bidi="ar"/>
        </w:rPr>
        <w:t xml:space="preserve">    </w:t>
      </w:r>
      <w:r>
        <w:rPr>
          <w:rFonts w:hint="eastAsia" w:ascii="黑体" w:hAnsi="黑体" w:eastAsia="黑体" w:cs="黑体"/>
          <w:i w:val="0"/>
          <w:color w:val="000000"/>
          <w:kern w:val="0"/>
          <w:sz w:val="28"/>
          <w:szCs w:val="28"/>
          <w:u w:val="none"/>
          <w:lang w:val="en-US" w:eastAsia="zh-CN" w:bidi="ar"/>
        </w:rPr>
        <w:t>年</w:t>
      </w:r>
      <w:r>
        <w:rPr>
          <w:rFonts w:hint="eastAsia" w:ascii="黑体" w:hAnsi="黑体" w:eastAsia="黑体" w:cs="黑体"/>
          <w:i w:val="0"/>
          <w:color w:val="000000"/>
          <w:kern w:val="0"/>
          <w:sz w:val="28"/>
          <w:szCs w:val="28"/>
          <w:u w:val="single"/>
          <w:lang w:val="en-US" w:eastAsia="zh-CN" w:bidi="ar"/>
        </w:rPr>
        <w:t xml:space="preserve">    </w:t>
      </w:r>
      <w:r>
        <w:rPr>
          <w:rFonts w:hint="eastAsia" w:ascii="黑体" w:hAnsi="黑体" w:eastAsia="黑体" w:cs="黑体"/>
          <w:i w:val="0"/>
          <w:color w:val="000000"/>
          <w:kern w:val="0"/>
          <w:sz w:val="28"/>
          <w:szCs w:val="28"/>
          <w:u w:val="none"/>
          <w:lang w:val="en-US" w:eastAsia="zh-CN" w:bidi="ar"/>
        </w:rPr>
        <w:t>月</w:t>
      </w:r>
      <w:r>
        <w:rPr>
          <w:rFonts w:hint="eastAsia" w:ascii="黑体" w:hAnsi="黑体" w:eastAsia="黑体" w:cs="黑体"/>
          <w:i w:val="0"/>
          <w:color w:val="000000"/>
          <w:kern w:val="0"/>
          <w:sz w:val="28"/>
          <w:szCs w:val="28"/>
          <w:u w:val="single"/>
          <w:lang w:val="en-US" w:eastAsia="zh-CN" w:bidi="ar"/>
        </w:rPr>
        <w:t xml:space="preserve">   </w:t>
      </w:r>
      <w:r>
        <w:rPr>
          <w:rFonts w:hint="eastAsia" w:ascii="黑体" w:hAnsi="黑体" w:eastAsia="黑体" w:cs="黑体"/>
          <w:i w:val="0"/>
          <w:color w:val="000000"/>
          <w:kern w:val="0"/>
          <w:sz w:val="28"/>
          <w:szCs w:val="28"/>
          <w:u w:val="none"/>
          <w:lang w:val="en-US" w:eastAsia="zh-CN" w:bidi="ar"/>
        </w:rPr>
        <w:t>日</w:t>
      </w:r>
      <w:r>
        <w:rPr>
          <w:rFonts w:hint="eastAsia" w:ascii="黑体" w:hAnsi="黑体" w:eastAsia="黑体" w:cs="黑体"/>
          <w:i w:val="0"/>
          <w:color w:val="000000"/>
          <w:kern w:val="0"/>
          <w:sz w:val="28"/>
          <w:szCs w:val="28"/>
          <w:u w:val="single"/>
          <w:lang w:val="en-US" w:eastAsia="zh-CN" w:bidi="ar"/>
        </w:rPr>
        <w:t xml:space="preserve"> </w:t>
      </w:r>
    </w:p>
    <w:tbl>
      <w:tblPr>
        <w:tblStyle w:val="9"/>
        <w:tblpPr w:leftFromText="180" w:rightFromText="180" w:vertAnchor="text" w:horzAnchor="page" w:tblpX="620" w:tblpY="373"/>
        <w:tblOverlap w:val="never"/>
        <w:tblW w:w="147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40"/>
        <w:gridCol w:w="1020"/>
        <w:gridCol w:w="930"/>
        <w:gridCol w:w="705"/>
        <w:gridCol w:w="885"/>
        <w:gridCol w:w="675"/>
        <w:gridCol w:w="1155"/>
        <w:gridCol w:w="1305"/>
        <w:gridCol w:w="1065"/>
        <w:gridCol w:w="795"/>
        <w:gridCol w:w="1005"/>
        <w:gridCol w:w="1170"/>
        <w:gridCol w:w="1140"/>
        <w:gridCol w:w="1020"/>
        <w:gridCol w:w="10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0"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地市</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工作项目</w:t>
            </w:r>
          </w:p>
        </w:tc>
        <w:tc>
          <w:tcPr>
            <w:tcW w:w="93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社会化整合资源情况（万元）</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植树造林情况</w:t>
            </w:r>
          </w:p>
        </w:tc>
        <w:tc>
          <w:tcPr>
            <w:tcW w:w="35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“河小青”情况</w:t>
            </w:r>
          </w:p>
        </w:tc>
        <w:tc>
          <w:tcPr>
            <w:tcW w:w="61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环保社会组织培育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93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植树株数</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植树</w:t>
            </w:r>
          </w:p>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面积（亩）</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参与人次</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主题活动（次）</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组建河小青志愿队伍（个）</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参与人次</w:t>
            </w:r>
          </w:p>
        </w:tc>
        <w:tc>
          <w:tcPr>
            <w:tcW w:w="7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市级联盟数量</w:t>
            </w:r>
          </w:p>
        </w:tc>
        <w:tc>
          <w:tcPr>
            <w:tcW w:w="100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团组织合作环保组织数量</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骨干培训</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项目资助（万）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56"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930"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7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p>
        </w:tc>
        <w:tc>
          <w:tcPr>
            <w:tcW w:w="100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培训次数</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培训人次</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投入资金</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1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r>
    </w:tbl>
    <w:p>
      <w:pPr>
        <w:rPr>
          <w:rFonts w:hint="eastAsia" w:ascii="楷体" w:hAnsi="楷体" w:eastAsia="楷体" w:cs="楷体"/>
          <w:color w:val="000000"/>
          <w:spacing w:val="-4"/>
          <w:sz w:val="28"/>
          <w:szCs w:val="28"/>
          <w:lang w:val="en-US" w:eastAsia="zh-CN"/>
        </w:rPr>
      </w:pPr>
      <w:r>
        <w:rPr>
          <w:rFonts w:hint="eastAsia" w:ascii="楷体" w:hAnsi="楷体" w:eastAsia="楷体" w:cs="楷体"/>
          <w:color w:val="000000"/>
          <w:spacing w:val="-4"/>
          <w:sz w:val="28"/>
          <w:szCs w:val="28"/>
          <w:lang w:val="en-US" w:eastAsia="zh-CN"/>
        </w:rPr>
        <w:t>注：</w:t>
      </w:r>
      <w:r>
        <w:rPr>
          <w:rFonts w:hint="eastAsia" w:ascii="楷体" w:hAnsi="楷体" w:eastAsia="楷体" w:cs="楷体"/>
          <w:color w:val="000000"/>
          <w:spacing w:val="-4"/>
          <w:sz w:val="28"/>
          <w:szCs w:val="28"/>
          <w:lang w:val="en-US" w:eastAsia="zh-CN"/>
        </w:rPr>
        <w:fldChar w:fldCharType="begin"/>
      </w:r>
      <w:r>
        <w:rPr>
          <w:rFonts w:hint="eastAsia" w:ascii="楷体" w:hAnsi="楷体" w:eastAsia="楷体" w:cs="楷体"/>
          <w:color w:val="000000"/>
          <w:spacing w:val="-4"/>
          <w:sz w:val="28"/>
          <w:szCs w:val="28"/>
          <w:lang w:val="en-US" w:eastAsia="zh-CN"/>
        </w:rPr>
        <w:instrText xml:space="preserve"> HYPERLINK "mailto:请随表格附送\“植树造林、河小青\”活动10张照片，活动总结及新闻报导等材料，发送至邮箱tswgdqfb@163.com。" </w:instrText>
      </w:r>
      <w:r>
        <w:rPr>
          <w:rFonts w:hint="eastAsia" w:ascii="楷体" w:hAnsi="楷体" w:eastAsia="楷体" w:cs="楷体"/>
          <w:color w:val="000000"/>
          <w:spacing w:val="-4"/>
          <w:sz w:val="28"/>
          <w:szCs w:val="28"/>
          <w:lang w:val="en-US" w:eastAsia="zh-CN"/>
        </w:rPr>
        <w:fldChar w:fldCharType="separate"/>
      </w:r>
      <w:r>
        <w:rPr>
          <w:rStyle w:val="8"/>
          <w:rFonts w:hint="eastAsia" w:ascii="楷体" w:hAnsi="楷体" w:eastAsia="楷体" w:cs="楷体"/>
          <w:color w:val="000000"/>
          <w:spacing w:val="-4"/>
          <w:sz w:val="28"/>
          <w:szCs w:val="28"/>
          <w:lang w:val="en-US" w:eastAsia="zh-CN"/>
        </w:rPr>
        <w:t>请随表格附送“植树造林、河小青”活动10张照片，</w:t>
      </w:r>
      <w:r>
        <w:rPr>
          <w:rStyle w:val="8"/>
          <w:rFonts w:hint="eastAsia" w:ascii="楷体" w:hAnsi="楷体" w:eastAsia="楷体" w:cs="楷体"/>
          <w:color w:val="000000"/>
          <w:spacing w:val="-4"/>
          <w:sz w:val="28"/>
          <w:szCs w:val="28"/>
          <w:lang w:eastAsia="zh-CN"/>
        </w:rPr>
        <w:t>活动总结及新闻报导</w:t>
      </w:r>
      <w:r>
        <w:rPr>
          <w:rStyle w:val="8"/>
          <w:rFonts w:hint="eastAsia" w:ascii="楷体" w:hAnsi="楷体" w:eastAsia="楷体" w:cs="楷体"/>
          <w:color w:val="000000"/>
          <w:spacing w:val="-4"/>
          <w:sz w:val="28"/>
          <w:szCs w:val="28"/>
        </w:rPr>
        <w:t>等材料</w:t>
      </w:r>
      <w:r>
        <w:rPr>
          <w:rStyle w:val="8"/>
          <w:rFonts w:hint="eastAsia" w:ascii="楷体" w:hAnsi="楷体" w:eastAsia="楷体" w:cs="楷体"/>
          <w:color w:val="000000"/>
          <w:spacing w:val="-4"/>
          <w:sz w:val="28"/>
          <w:szCs w:val="28"/>
          <w:lang w:eastAsia="zh-CN"/>
        </w:rPr>
        <w:t>，发送至邮箱</w:t>
      </w:r>
      <w:r>
        <w:rPr>
          <w:rStyle w:val="8"/>
          <w:rFonts w:hint="eastAsia" w:ascii="楷体" w:hAnsi="楷体" w:eastAsia="楷体" w:cs="楷体"/>
          <w:color w:val="000000"/>
          <w:spacing w:val="-4"/>
          <w:sz w:val="28"/>
          <w:szCs w:val="28"/>
          <w:lang w:val="en-US" w:eastAsia="zh-CN"/>
        </w:rPr>
        <w:t>tswgdqfb@163.com。</w:t>
      </w:r>
      <w:r>
        <w:rPr>
          <w:rFonts w:hint="eastAsia" w:ascii="楷体" w:hAnsi="楷体" w:eastAsia="楷体" w:cs="楷体"/>
          <w:color w:val="000000"/>
          <w:spacing w:val="-4"/>
          <w:sz w:val="28"/>
          <w:szCs w:val="28"/>
          <w:lang w:val="en-US" w:eastAsia="zh-CN"/>
        </w:rPr>
        <w:fldChar w:fldCharType="end"/>
      </w:r>
    </w:p>
    <w:p>
      <w:pPr>
        <w:rPr>
          <w:rFonts w:hint="eastAsia" w:ascii="楷体" w:hAnsi="楷体" w:eastAsia="楷体" w:cs="楷体"/>
          <w:color w:val="000000"/>
          <w:spacing w:val="-4"/>
          <w:sz w:val="28"/>
          <w:szCs w:val="28"/>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tbl>
      <w:tblPr>
        <w:tblStyle w:val="9"/>
        <w:tblpPr w:leftFromText="181" w:rightFromText="181" w:vertAnchor="page" w:horzAnchor="margin" w:tblpY="13088"/>
        <w:tblW w:w="9118" w:type="dxa"/>
        <w:tblInd w:w="-5"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3894"/>
        <w:gridCol w:w="5224"/>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676" w:hRule="atLeast"/>
        </w:trPr>
        <w:tc>
          <w:tcPr>
            <w:tcW w:w="9118" w:type="dxa"/>
            <w:gridSpan w:val="2"/>
            <w:tcBorders>
              <w:top w:val="nil"/>
              <w:left w:val="single" w:color="FFFFFF" w:sz="4" w:space="0"/>
              <w:bottom w:val="single" w:color="auto" w:sz="4" w:space="0"/>
              <w:right w:val="nil"/>
            </w:tcBorders>
            <w:vAlign w:val="top"/>
          </w:tcPr>
          <w:p>
            <w:pPr>
              <w:pStyle w:val="12"/>
              <w:ind w:left="1585" w:leftChars="48" w:hanging="1484" w:hangingChars="464"/>
              <w:rPr>
                <w:rFonts w:hint="eastAsia" w:ascii="方正仿宋_GBK" w:eastAsia="方正仿宋_GBK"/>
                <w:szCs w:val="32"/>
              </w:rPr>
            </w:pPr>
          </w:p>
          <w:p>
            <w:pPr>
              <w:pStyle w:val="12"/>
              <w:ind w:left="0" w:leftChars="0" w:firstLine="0" w:firstLineChars="0"/>
              <w:rPr>
                <w:rFonts w:hint="eastAsia" w:ascii="方正仿宋_GBK" w:eastAsia="方正仿宋_GBK"/>
                <w:szCs w:val="32"/>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687" w:hRule="atLeast"/>
        </w:trPr>
        <w:tc>
          <w:tcPr>
            <w:tcW w:w="3894" w:type="dxa"/>
            <w:tcBorders>
              <w:top w:val="single" w:color="auto" w:sz="4" w:space="0"/>
              <w:left w:val="single" w:color="FFFFFF" w:sz="4" w:space="0"/>
              <w:bottom w:val="single" w:color="auto" w:sz="4" w:space="0"/>
              <w:right w:val="nil"/>
            </w:tcBorders>
            <w:vAlign w:val="top"/>
          </w:tcPr>
          <w:p>
            <w:pPr>
              <w:tabs>
                <w:tab w:val="left" w:pos="5598"/>
              </w:tabs>
              <w:ind w:firstLine="156" w:firstLineChars="4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共青团广东省委办公室</w:t>
            </w:r>
          </w:p>
        </w:tc>
        <w:tc>
          <w:tcPr>
            <w:tcW w:w="5224" w:type="dxa"/>
            <w:tcBorders>
              <w:top w:val="single" w:color="auto" w:sz="4" w:space="0"/>
              <w:left w:val="nil"/>
              <w:bottom w:val="single" w:color="auto" w:sz="4" w:space="0"/>
              <w:right w:val="nil"/>
            </w:tcBorders>
            <w:vAlign w:val="top"/>
          </w:tcPr>
          <w:p>
            <w:pPr>
              <w:tabs>
                <w:tab w:val="left" w:pos="5598"/>
              </w:tabs>
              <w:ind w:right="186" w:firstLine="790" w:firstLineChars="24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年3月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日印发</w:t>
            </w:r>
          </w:p>
        </w:tc>
      </w:tr>
    </w:tbl>
    <w:p/>
    <w:p>
      <w:pPr>
        <w:rPr>
          <w:rFonts w:hint="eastAsia" w:ascii="楷体" w:hAnsi="楷体" w:eastAsia="楷体" w:cs="楷体"/>
          <w:color w:val="000000"/>
          <w:spacing w:val="-4"/>
          <w:sz w:val="28"/>
          <w:szCs w:val="28"/>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Helvetica Neue">
    <w:altName w:val="Segoe Print"/>
    <w:panose1 w:val="00000000000000000000"/>
    <w:charset w:val="00"/>
    <w:family w:val="auto"/>
    <w:pitch w:val="default"/>
    <w:sig w:usb0="00000000" w:usb1="00000000" w:usb2="00000000" w:usb3="00000000" w:csb0="00000000" w:csb1="00000000"/>
  </w:font>
  <w:font w:name="公文小标宋简">
    <w:altName w:val="宋体"/>
    <w:panose1 w:val="0201060901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宋体"/>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Up7fHFAQAAawMAAA4AAAAAAAAAAQAgAAAAHgEAAGRycy9lMm9Eb2MueG1s&#10;UEsFBgAAAAAGAAYAWQEAAFUFAAAAAA==&#10;">
              <v:fill on="f" focussize="0,0"/>
              <v:stroke on="f"/>
              <v:imagedata o:title=""/>
              <o:lock v:ext="edit" aspectratio="f"/>
              <v:textbox inset="0mm,0mm,0mm,0mm" style="mso-fit-shape-to-text:t;">
                <w:txbxContent>
                  <w:p>
                    <w:pPr>
                      <w:pStyle w:val="4"/>
                      <w:rPr>
                        <w:rFonts w:hint="eastAsia" w:eastAsia="宋体"/>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E55AA2"/>
    <w:rsid w:val="00161FFC"/>
    <w:rsid w:val="00273C94"/>
    <w:rsid w:val="00331E80"/>
    <w:rsid w:val="00397008"/>
    <w:rsid w:val="00414C2E"/>
    <w:rsid w:val="004B69DD"/>
    <w:rsid w:val="006552D5"/>
    <w:rsid w:val="00802367"/>
    <w:rsid w:val="00D07ADB"/>
    <w:rsid w:val="00D40A81"/>
    <w:rsid w:val="00D5032F"/>
    <w:rsid w:val="00FD613B"/>
    <w:rsid w:val="016767CF"/>
    <w:rsid w:val="031F619A"/>
    <w:rsid w:val="0729675E"/>
    <w:rsid w:val="08A61434"/>
    <w:rsid w:val="0AB26912"/>
    <w:rsid w:val="130D49E1"/>
    <w:rsid w:val="131E079F"/>
    <w:rsid w:val="14690311"/>
    <w:rsid w:val="15251F36"/>
    <w:rsid w:val="16E97CFC"/>
    <w:rsid w:val="175B5D9A"/>
    <w:rsid w:val="18946C70"/>
    <w:rsid w:val="234C326D"/>
    <w:rsid w:val="26995E87"/>
    <w:rsid w:val="2770797E"/>
    <w:rsid w:val="27AD7C03"/>
    <w:rsid w:val="29223416"/>
    <w:rsid w:val="293C7DDE"/>
    <w:rsid w:val="295A6874"/>
    <w:rsid w:val="2D947C53"/>
    <w:rsid w:val="31AB48CD"/>
    <w:rsid w:val="34EE01FF"/>
    <w:rsid w:val="387E4509"/>
    <w:rsid w:val="392F07CC"/>
    <w:rsid w:val="3A244546"/>
    <w:rsid w:val="40AF4198"/>
    <w:rsid w:val="459E3D6A"/>
    <w:rsid w:val="49E13389"/>
    <w:rsid w:val="4A51063F"/>
    <w:rsid w:val="4A9E0F20"/>
    <w:rsid w:val="4AEA3B13"/>
    <w:rsid w:val="4BA2390C"/>
    <w:rsid w:val="4DC40408"/>
    <w:rsid w:val="4FA26B6E"/>
    <w:rsid w:val="51D30CFC"/>
    <w:rsid w:val="52E55AA2"/>
    <w:rsid w:val="53AC13A5"/>
    <w:rsid w:val="61E34993"/>
    <w:rsid w:val="62CF09B4"/>
    <w:rsid w:val="64377502"/>
    <w:rsid w:val="64455397"/>
    <w:rsid w:val="64ED7E35"/>
    <w:rsid w:val="66810542"/>
    <w:rsid w:val="6C6936F4"/>
    <w:rsid w:val="710E7914"/>
    <w:rsid w:val="7AF97626"/>
    <w:rsid w:val="7E8870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styleId="8">
    <w:name w:val="Hyperlink"/>
    <w:qFormat/>
    <w:uiPriority w:val="0"/>
    <w:rPr>
      <w:color w:val="0000FF"/>
      <w:u w:val="single"/>
    </w:rPr>
  </w:style>
  <w:style w:type="character" w:customStyle="1" w:styleId="10">
    <w:name w:val="页眉 Char"/>
    <w:basedOn w:val="6"/>
    <w:link w:val="5"/>
    <w:qFormat/>
    <w:uiPriority w:val="0"/>
    <w:rPr>
      <w:rFonts w:ascii="Calibri" w:hAnsi="Calibri"/>
      <w:kern w:val="2"/>
      <w:sz w:val="18"/>
      <w:szCs w:val="18"/>
    </w:rPr>
  </w:style>
  <w:style w:type="character" w:customStyle="1" w:styleId="11">
    <w:name w:val="页脚 Char"/>
    <w:basedOn w:val="6"/>
    <w:link w:val="4"/>
    <w:qFormat/>
    <w:uiPriority w:val="0"/>
    <w:rPr>
      <w:rFonts w:ascii="Calibri" w:hAnsi="Calibri"/>
      <w:kern w:val="2"/>
      <w:sz w:val="18"/>
      <w:szCs w:val="18"/>
    </w:rPr>
  </w:style>
  <w:style w:type="paragraph" w:customStyle="1" w:styleId="12">
    <w:name w:val="主题词"/>
    <w:basedOn w:val="1"/>
    <w:qFormat/>
    <w:uiPriority w:val="0"/>
    <w:pPr>
      <w:ind w:left="1400" w:hanging="1400"/>
    </w:pPr>
    <w:rPr>
      <w:rFonts w:eastAsia="公文小标宋简"/>
      <w:sz w:val="3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省委政法委</Company>
  <Pages>6</Pages>
  <Words>443</Words>
  <Characters>2529</Characters>
  <Lines>21</Lines>
  <Paragraphs>5</Paragraphs>
  <ScaleCrop>false</ScaleCrop>
  <LinksUpToDate>false</LinksUpToDate>
  <CharactersWithSpaces>2967</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2018-02-28T01:34:00Z</dcterms:created>
  <dc:creator>NQB03</dc:creator>
  <cp:lastModifiedBy>Ella_Ow</cp:lastModifiedBy>
  <cp:lastPrinted>2018-03-29T03:51:00Z</cp:lastPrinted>
  <dcterms:modified xsi:type="dcterms:W3CDTF">2018-03-29T06:33:56Z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