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distribute"/>
        <w:rPr>
          <w:rFonts w:hint="eastAsia" w:ascii="华文中宋" w:hAnsi="华文中宋" w:eastAsia="华文中宋" w:cs="仿宋"/>
          <w:b/>
          <w:color w:val="FF0000"/>
          <w:sz w:val="72"/>
          <w:szCs w:val="72"/>
        </w:rPr>
      </w:pPr>
      <w:r>
        <w:rPr>
          <w:rFonts w:hint="eastAsia" w:ascii="华文中宋" w:hAnsi="华文中宋" w:eastAsia="华文中宋" w:cs="仿宋"/>
          <w:b/>
          <w:color w:val="FF0000"/>
          <w:sz w:val="72"/>
          <w:szCs w:val="72"/>
        </w:rPr>
        <w:t>共青团广东省委员会</w:t>
      </w:r>
    </w:p>
    <w:p>
      <w:pPr>
        <w:jc w:val="distribute"/>
        <w:rPr>
          <w:rFonts w:hint="eastAsia" w:ascii="华文中宋" w:hAnsi="华文中宋" w:eastAsia="华文中宋" w:cs="仿宋"/>
          <w:b/>
          <w:color w:val="FF0000"/>
          <w:sz w:val="72"/>
          <w:szCs w:val="72"/>
        </w:rPr>
      </w:pPr>
      <w:r>
        <w:rPr>
          <w:rFonts w:hint="eastAsia" w:ascii="华文中宋" w:hAnsi="华文中宋" w:eastAsia="华文中宋" w:cs="仿宋"/>
          <w:b/>
          <w:color w:val="FF0000"/>
          <w:sz w:val="72"/>
          <w:szCs w:val="72"/>
        </w:rPr>
        <w:t>广东省司法厅</w:t>
      </w:r>
    </w:p>
    <w:p>
      <w:pPr>
        <w:jc w:val="distribute"/>
        <w:rPr>
          <w:rFonts w:hint="eastAsia" w:ascii="华文中宋" w:hAnsi="华文中宋" w:eastAsia="华文中宋" w:cs="仿宋"/>
          <w:b/>
          <w:color w:val="FF0000"/>
          <w:sz w:val="72"/>
          <w:szCs w:val="72"/>
          <w:lang w:eastAsia="zh-CN"/>
        </w:rPr>
      </w:pPr>
      <w:r>
        <w:rPr>
          <w:rFonts w:hint="eastAsia" w:ascii="华文中宋" w:hAnsi="华文中宋" w:eastAsia="华文中宋" w:cs="仿宋"/>
          <w:b/>
          <w:color w:val="FF0000"/>
          <w:sz w:val="72"/>
          <w:szCs w:val="72"/>
          <w:lang w:eastAsia="zh-CN"/>
        </w:rPr>
        <w:t>广东省教育厅</w:t>
      </w:r>
    </w:p>
    <w:p>
      <w:pPr>
        <w:jc w:val="distribute"/>
        <w:rPr>
          <w:rFonts w:hint="eastAsia" w:ascii="华文中宋" w:hAnsi="华文中宋" w:eastAsia="华文中宋" w:cs="仿宋"/>
          <w:b/>
          <w:color w:val="FF0000"/>
          <w:sz w:val="72"/>
          <w:szCs w:val="72"/>
        </w:rPr>
      </w:pPr>
      <w:r>
        <w:rPr>
          <w:rFonts w:hint="eastAsia" w:ascii="华文中宋" w:hAnsi="华文中宋" w:eastAsia="华文中宋" w:cs="仿宋"/>
          <w:b/>
          <w:color w:val="FF0000"/>
          <w:sz w:val="72"/>
          <w:szCs w:val="72"/>
        </w:rPr>
        <w:t>广东省律师协会</w:t>
      </w:r>
    </w:p>
    <w:p>
      <w:pPr>
        <w:jc w:val="center"/>
        <w:rPr>
          <w:rFonts w:hint="eastAsia" w:ascii="仿宋_GB2312" w:hAnsi="仿宋" w:eastAsia="仿宋_GB2312" w:cs="仿宋"/>
          <w:sz w:val="32"/>
          <w:szCs w:val="32"/>
        </w:rPr>
      </w:pP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团粤联发〔201</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57 </w:t>
      </w:r>
      <w:r>
        <w:rPr>
          <w:rFonts w:hint="eastAsia" w:ascii="仿宋_GB2312" w:hAnsi="仿宋" w:eastAsia="仿宋_GB2312" w:cs="仿宋"/>
          <w:sz w:val="32"/>
          <w:szCs w:val="32"/>
        </w:rPr>
        <w:t>号</w:t>
      </w:r>
    </w:p>
    <w:p>
      <w:pPr>
        <w:jc w:val="center"/>
        <w:rPr>
          <w:rFonts w:hint="eastAsia" w:ascii="方正小标宋简体" w:hAnsi="方正小标宋简体" w:eastAsia="方正小标宋简体" w:cs="方正小标宋简体"/>
          <w:sz w:val="44"/>
          <w:szCs w:val="44"/>
        </w:rPr>
      </w:pPr>
      <w:r>
        <w:rPr>
          <w:rFonts w:ascii="仿宋" w:hAnsi="仿宋" w:eastAsia="仿宋" w:cs="仿宋"/>
          <w:sz w:val="32"/>
          <w:szCs w:val="32"/>
          <w:lang w:val="zh-CN" w:eastAsia="zh-CN"/>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198120</wp:posOffset>
                </wp:positionV>
                <wp:extent cx="5143500" cy="0"/>
                <wp:effectExtent l="0" t="0" r="0" b="0"/>
                <wp:wrapNone/>
                <wp:docPr id="1" name="Line 10"/>
                <wp:cNvGraphicFramePr/>
                <a:graphic xmlns:a="http://schemas.openxmlformats.org/drawingml/2006/main">
                  <a:graphicData uri="http://schemas.microsoft.com/office/word/2010/wordprocessingShape">
                    <wps:wsp>
                      <wps:cNvSpPr/>
                      <wps:spPr>
                        <a:xfrm>
                          <a:off x="0" y="0"/>
                          <a:ext cx="51435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15.6pt;height:0pt;width:405pt;z-index:251658240;mso-width-relative:page;mso-height-relative:page;" filled="f" stroked="t" coordsize="21600,21600" o:gfxdata="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oAtmbUAAAACAEAAA8AAAAAAAAAAQAgAAAAIgAAAGRycy9kb3ducmV2LnhtbFBL&#10;AQIUABQAAAAIAIdO4kDkmCKpwQEAAI0DAAAOAAAAAAAAAAEAIAAAACMBAABkcnMvZTJvRG9jLnht&#10;bFBLBQYAAAAABgAGAFkBAABWBQAAAAA=&#10;">
                <v:path arrowok="t"/>
                <v:fill on="f" focussize="0,0"/>
                <v:stroke weight="1.25pt" color="#FF0000"/>
                <v:imagedata o:title=""/>
                <o:lock v:ext="edit" grouping="f" rotation="f" text="f" aspectratio="f"/>
              </v:line>
            </w:pict>
          </mc:Fallback>
        </mc:AlternateConten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关于开展2017－2018年广东省“千名青年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律师千场青少年法律服务”活动的通知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各地级以上市团委、司法局、教育局、律师协会，各高等学校团委、省属中等职业学校团委，各律师事务所、各村（社区）法律顾问：</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深入贯彻落实党的十九大精神，特别是习近平新时代中国特色社会主义思想，认真学习贯彻《中共广东省委贯彻落实〈中共中央关于全面推进依法治国若干重大问题的决定〉的意见》，扎实推进青少年普法宣传及权益保护工作，共青团广东省委员会、广东省司法厅、广东省教育厅、广东省律师协会等单位决定共同开展2017－2018年广东省“千名青年律师千场青少年法律服务”活动。现将有关事项通知如下：</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一、活动目的和意义</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深入贯彻落实党的十九大精神，特别是习近平新时代中国特色社会主义思想，认真学习贯彻《中共广东省委贯彻落实〈中共中央关于全面推进依法治国若干重大问题的决定〉的意见》，创新模式引入专业力量参与青少年普法宣传及权益保护工作，形成多部门齐抓、多力量并举、多资源并用的社会化青少年维权工作体系和法治宣传教育工作格局，努力使青少年成为社会主义法治的忠实崇尚者、自觉遵守者、坚定捍卫者，自觉走新时代中国特色社会主义法治道路。</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二、活动主题</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美好生活与法同行</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三、组织机构</w:t>
      </w:r>
    </w:p>
    <w:p>
      <w:pPr>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（一）主办单位</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共青团广东省委员会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广东省司法厅</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广东省教育厅</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广东省律师协会</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四、活动时间</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2017年12月至2018年12月</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五、活动内容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发动全省村（社区）法律顾问为服务村（社区）区域内大中小学校、高职中职院校分别开展不少于一场的青少年法律服务活动。同时，成立青年律师公益服务团，在全省范围内吸纳青年志愿律师加入服务团。组织青年律师公益服务团成员重点对普法宣传较为薄弱的村（社区）大中小学校、高职中职院校开展青少年法律服务活动。以“12·4”国家宪法日为契机，在广州启动千名青年律师千场青少年法律服务活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规定动作：</w:t>
      </w:r>
      <w:r>
        <w:rPr>
          <w:rFonts w:hint="eastAsia" w:ascii="方正仿宋_GBK" w:hAnsi="方正仿宋_GBK" w:eastAsia="方正仿宋_GBK" w:cs="方正仿宋_GBK"/>
          <w:sz w:val="32"/>
          <w:szCs w:val="32"/>
        </w:rPr>
        <w:t>结合十九大精神宣讲，围绕校园（培训）贷、校园欺凌、预防未成年人犯罪、网络成瘾、青少年防范性侵自护、留守儿童自护、个案维权等主题，面向青少年开展普法宣讲。活动现场设置12355青少年综合服务热线、12348公共法律服务热线、“青年之声”“广东普法”微信公众号等元素宣传KT板或海报，并发放宣传资料（宣传品电子版另行下发）。</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自选动作：</w:t>
      </w:r>
      <w:r>
        <w:rPr>
          <w:rFonts w:hint="eastAsia" w:ascii="方正仿宋_GBK" w:hAnsi="方正仿宋_GBK" w:eastAsia="方正仿宋_GBK" w:cs="方正仿宋_GBK"/>
          <w:sz w:val="32"/>
          <w:szCs w:val="32"/>
        </w:rPr>
        <w:t>各地可结合本地特色同场开展法律咨询、法律服务、模拟法庭、法律竞赛、法律沙龙等项目，丰富青少年法律服务活动内容。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六、普法宣讲</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（一）队伍组建。</w:t>
      </w:r>
      <w:r>
        <w:rPr>
          <w:rFonts w:hint="eastAsia" w:ascii="方正仿宋_GBK" w:hAnsi="方正仿宋_GBK" w:eastAsia="方正仿宋_GBK" w:cs="方正仿宋_GBK"/>
          <w:sz w:val="32"/>
          <w:szCs w:val="32"/>
        </w:rPr>
        <w:t>各地吸纳村（社区）法律顾问及青年志愿律师加入本地“千名青年律师千场青少年法律服务”活动宣讲团队，根据吸纳情况进行宣讲调配。</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（二）课件设计。</w:t>
      </w:r>
      <w:r>
        <w:rPr>
          <w:rFonts w:hint="eastAsia" w:ascii="方正仿宋_GBK" w:hAnsi="方正仿宋_GBK" w:eastAsia="方正仿宋_GBK" w:cs="方正仿宋_GBK"/>
          <w:sz w:val="32"/>
          <w:szCs w:val="32"/>
        </w:rPr>
        <w:t>围绕校园（培训）贷、校园欺凌、预防未成年人犯罪、网络成瘾、未成年人防范性侵自护、留守儿童自护、个案维权等主题，邀请优秀律师、专家学者共同设计，供村（社区）法律顾问及青年志愿律师开展普法宣讲参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（三）培训督导。</w:t>
      </w:r>
      <w:r>
        <w:rPr>
          <w:rFonts w:hint="eastAsia" w:ascii="方正仿宋_GBK" w:hAnsi="方正仿宋_GBK" w:eastAsia="方正仿宋_GBK" w:cs="方正仿宋_GBK"/>
          <w:sz w:val="32"/>
          <w:szCs w:val="32"/>
        </w:rPr>
        <w:t>邀请优秀律师、专家学者组建普法宣讲导师团，根据各地市村（社区）法律顾问、青年志愿律师的培训需求，奔赴各地开展普法宣讲的专门培训。</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七、步骤安排</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（一）策划筹备阶段</w:t>
      </w:r>
      <w:r>
        <w:rPr>
          <w:rFonts w:hint="eastAsia" w:ascii="方正仿宋_GBK" w:hAnsi="方正仿宋_GBK" w:eastAsia="方正仿宋_GBK" w:cs="方正仿宋_GBK"/>
          <w:sz w:val="32"/>
          <w:szCs w:val="32"/>
        </w:rPr>
        <w:t>（2017年11月至12月）。主办单位联合下发活动通知，制定普法宣讲总体规划，发动各地市做好队伍组建、课件设计、培训督导、宣传发动等工作。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（二）组织实施阶段</w:t>
      </w:r>
      <w:r>
        <w:rPr>
          <w:rFonts w:hint="eastAsia" w:ascii="方正仿宋_GBK" w:hAnsi="方正仿宋_GBK" w:eastAsia="方正仿宋_GBK" w:cs="方正仿宋_GBK"/>
          <w:sz w:val="32"/>
          <w:szCs w:val="32"/>
        </w:rPr>
        <w:t>（2017年12月至2018年9月）。省级启动“双千计划”并开展示范性活动，各地市团委于12月份统一开展不少于一场示范性活动。各地市有关部门要按照通知要求，制定具体实施计划，主动对接各类学校、村（社区）法律顾问及青年志愿律师，走进各类学校开展普法宣讲。</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（三）总结验收阶段</w:t>
      </w:r>
      <w:r>
        <w:rPr>
          <w:rFonts w:hint="eastAsia" w:ascii="方正仿宋_GBK" w:hAnsi="方正仿宋_GBK" w:eastAsia="方正仿宋_GBK" w:cs="方正仿宋_GBK"/>
          <w:sz w:val="32"/>
          <w:szCs w:val="32"/>
        </w:rPr>
        <w:t>（2018年9月至12月）。全面总结梳理活动开展情况，形成书面总结，连同活动的图片、视频、宣传报道等资料一并报送至团省委权益与社会工作部、省律师协会，适时对好的经验做法进行推广表彰。</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八、荣誉奖励</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1.</w:t>
      </w:r>
      <w:r>
        <w:rPr>
          <w:rFonts w:hint="eastAsia" w:ascii="方正楷体_GBK" w:hAnsi="方正楷体_GBK" w:eastAsia="方正楷体_GBK" w:cs="方正楷体_GBK"/>
          <w:sz w:val="32"/>
          <w:szCs w:val="32"/>
        </w:rPr>
        <w:t>集体荣誉：</w:t>
      </w:r>
      <w:r>
        <w:rPr>
          <w:rFonts w:hint="eastAsia" w:ascii="方正仿宋_GBK" w:hAnsi="方正仿宋_GBK" w:eastAsia="方正仿宋_GBK" w:cs="方正仿宋_GBK"/>
          <w:sz w:val="32"/>
          <w:szCs w:val="32"/>
        </w:rPr>
        <w:t>对活动期间组织实施得力、表现特别突出的10所律师事务所，给予荣誉奖励并颁发荣誉证书。</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个人荣誉。</w:t>
      </w:r>
      <w:r>
        <w:rPr>
          <w:rFonts w:hint="eastAsia" w:ascii="方正仿宋_GBK" w:hAnsi="方正仿宋_GBK" w:eastAsia="方正仿宋_GBK" w:cs="方正仿宋_GBK"/>
          <w:sz w:val="32"/>
          <w:szCs w:val="32"/>
        </w:rPr>
        <w:t>对活动期间表现突出的10名培训督导老师，给予荣誉奖励并颁发荣誉证书。对活动期间表现突出的100名村（社区）法律顾问或青年志愿律师，给予荣誉奖励并颁发荣誉证书。在110名获得个人荣誉人选中好中选优，推荐参评全国和省“七五”普法先进个人。</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九、工作要求</w:t>
      </w:r>
    </w:p>
    <w:p>
      <w:pPr>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1.</w:t>
      </w:r>
      <w:r>
        <w:rPr>
          <w:rFonts w:hint="eastAsia" w:ascii="方正楷体_GBK" w:hAnsi="方正楷体_GBK" w:eastAsia="方正楷体_GBK" w:cs="方正楷体_GBK"/>
          <w:sz w:val="32"/>
          <w:szCs w:val="32"/>
        </w:rPr>
        <w:t>加强领导、狠抓落实。</w:t>
      </w:r>
      <w:r>
        <w:rPr>
          <w:rFonts w:hint="eastAsia" w:ascii="方正仿宋_GBK" w:hAnsi="方正仿宋_GBK" w:eastAsia="方正仿宋_GBK" w:cs="方正仿宋_GBK"/>
          <w:sz w:val="32"/>
          <w:szCs w:val="32"/>
        </w:rPr>
        <w:t>各地各单位要充分认识此次活动的重要性，加强组织领导，落实经费保障，确保活动顺利开展。各地市于12月份开展不少于一场示范性青少年法律服务活动。各地发动本地村（社区）法律顾问、青年志愿律师为服务村（社区）区域内大中小学校、高职中职院校分别开展不少于一场青少年法律服务活动。</w:t>
      </w:r>
    </w:p>
    <w:p>
      <w:pPr>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注重结合、强化引导。</w:t>
      </w:r>
      <w:r>
        <w:rPr>
          <w:rFonts w:hint="eastAsia" w:ascii="方正仿宋_GBK" w:hAnsi="方正仿宋_GBK" w:eastAsia="方正仿宋_GBK" w:cs="方正仿宋_GBK"/>
          <w:sz w:val="32"/>
          <w:szCs w:val="32"/>
        </w:rPr>
        <w:t>各地各单位要把法治宣传教育和维护青少年合法权益工作有机结合起来，不断提高青少年乃至全社会的法律意识和素养，引导青少年学法、知法、用法、守法。同时，在开展活动同时，注重推广12355青少年综合服务热线、12348公共法律服务热线，积极引导青少年依法合理表达诉求、维护自身权益，为青少年身心健康成长营造良好社会环境。</w:t>
      </w:r>
    </w:p>
    <w:p>
      <w:pPr>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3</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注重总结、及时汇报。</w:t>
      </w:r>
      <w:r>
        <w:rPr>
          <w:rFonts w:hint="eastAsia" w:ascii="方正仿宋_GBK" w:hAnsi="方正仿宋_GBK" w:eastAsia="方正仿宋_GBK" w:cs="方正仿宋_GBK"/>
          <w:sz w:val="32"/>
          <w:szCs w:val="32"/>
        </w:rPr>
        <w:t>各地市团委、律师协会要及时做好活动规划及活动情况汇报。要分别于2017年12月30日前报送活动规划表（附件１），于2018年6月30日、10月30日前将活动统计表（包括视频、图片、宣传报道等佐证材料）（附件2）分别报送至团省委、省律协指定邮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附件：1“千名青年律师千场青少年法律服务”活动规</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划表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2“千名青年律师千场青少年法律服务”活动统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计表</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团省委联系人：贠德政</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联系电话：020-87185635电子邮件：qybtsw@126com</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地址：广州市越秀区寺贝通津1号之三（邮编510080）</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省律协联系人：吴学明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联系电话：020-66826949电子邮件：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地址：广州市天河区珠江新城华夏路49号津滨腾越大</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厦北塔12楼(邮编510080）</w:t>
      </w:r>
    </w:p>
    <w:p>
      <w:pPr>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共青团广东省委员会                广东省司法厅</w:t>
      </w: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广</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东</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省</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教</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育</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厅</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广东省律师协会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 xml:space="preserve">    </w:t>
      </w:r>
    </w:p>
    <w:p>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w:t>
      </w:r>
    </w:p>
    <w:p>
      <w:pPr>
        <w:pStyle w:val="3"/>
        <w:spacing w:before="0" w:beforeAutospacing="0" w:after="0" w:afterAutospacing="0" w:line="560" w:lineRule="exact"/>
        <w:rPr>
          <w:rFonts w:hint="eastAsia" w:ascii="方正仿宋_GBK" w:hAnsi="方正仿宋_GBK" w:eastAsia="方正仿宋_GBK" w:cs="方正仿宋_GBK"/>
          <w:kern w:val="2"/>
          <w:sz w:val="32"/>
          <w:szCs w:val="32"/>
        </w:rPr>
        <w:sectPr>
          <w:footerReference r:id="rId3"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p>
    <w:p>
      <w:pPr>
        <w:pStyle w:val="3"/>
        <w:spacing w:before="0" w:beforeAutospacing="0" w:after="0" w:afterAutospacing="0" w:line="560" w:lineRule="exact"/>
        <w:rPr>
          <w:rFonts w:hint="eastAsia" w:ascii="黑体" w:hAnsi="仿宋" w:eastAsia="黑体" w:cs="仿宋"/>
          <w:kern w:val="2"/>
          <w:sz w:val="32"/>
          <w:szCs w:val="32"/>
        </w:rPr>
      </w:pPr>
      <w:r>
        <w:rPr>
          <w:rFonts w:hint="eastAsia" w:ascii="黑体" w:hAnsi="仿宋" w:eastAsia="黑体" w:cs="仿宋"/>
          <w:kern w:val="2"/>
          <w:sz w:val="32"/>
          <w:szCs w:val="32"/>
        </w:rPr>
        <w:t>附件1</w:t>
      </w:r>
    </w:p>
    <w:tbl>
      <w:tblPr>
        <w:tblStyle w:val="7"/>
        <w:tblW w:w="14566" w:type="dxa"/>
        <w:jc w:val="center"/>
        <w:tblInd w:w="0" w:type="dxa"/>
        <w:tblLayout w:type="fixed"/>
        <w:tblCellMar>
          <w:top w:w="0" w:type="dxa"/>
          <w:left w:w="108" w:type="dxa"/>
          <w:bottom w:w="0" w:type="dxa"/>
          <w:right w:w="108" w:type="dxa"/>
        </w:tblCellMar>
      </w:tblPr>
      <w:tblGrid>
        <w:gridCol w:w="881"/>
        <w:gridCol w:w="1507"/>
        <w:gridCol w:w="3329"/>
        <w:gridCol w:w="1551"/>
        <w:gridCol w:w="1463"/>
        <w:gridCol w:w="3252"/>
        <w:gridCol w:w="2583"/>
      </w:tblGrid>
      <w:tr>
        <w:tblPrEx>
          <w:tblLayout w:type="fixed"/>
          <w:tblCellMar>
            <w:top w:w="0" w:type="dxa"/>
            <w:left w:w="108" w:type="dxa"/>
            <w:bottom w:w="0" w:type="dxa"/>
            <w:right w:w="108" w:type="dxa"/>
          </w:tblCellMar>
        </w:tblPrEx>
        <w:trPr>
          <w:trHeight w:val="501" w:hRule="atLeast"/>
          <w:jc w:val="center"/>
        </w:trPr>
        <w:tc>
          <w:tcPr>
            <w:tcW w:w="14566" w:type="dxa"/>
            <w:gridSpan w:val="7"/>
            <w:tcBorders>
              <w:top w:val="nil"/>
              <w:left w:val="nil"/>
              <w:bottom w:val="single" w:color="auto" w:sz="4" w:space="0"/>
              <w:right w:val="nil"/>
            </w:tcBorders>
            <w:vAlign w:val="bottom"/>
          </w:tcPr>
          <w:p>
            <w:pPr>
              <w:widowControl/>
              <w:spacing w:line="240" w:lineRule="atLeas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“千名青年律师千场青少年法律服务”活动</w:t>
            </w:r>
            <w:r>
              <w:rPr>
                <w:rFonts w:hint="eastAsia" w:ascii="方正小标宋简体" w:hAnsi="方正小标宋简体" w:eastAsia="方正小标宋简体" w:cs="方正小标宋简体"/>
                <w:b w:val="0"/>
                <w:bCs w:val="0"/>
                <w:kern w:val="0"/>
                <w:sz w:val="44"/>
                <w:szCs w:val="44"/>
                <w:lang w:eastAsia="zh-CN"/>
              </w:rPr>
              <w:t>规划</w:t>
            </w:r>
            <w:r>
              <w:rPr>
                <w:rFonts w:hint="eastAsia" w:ascii="方正小标宋简体" w:hAnsi="方正小标宋简体" w:eastAsia="方正小标宋简体" w:cs="方正小标宋简体"/>
                <w:b w:val="0"/>
                <w:bCs w:val="0"/>
                <w:kern w:val="0"/>
                <w:sz w:val="44"/>
                <w:szCs w:val="44"/>
              </w:rPr>
              <w:t>表</w:t>
            </w:r>
          </w:p>
          <w:p>
            <w:pPr>
              <w:widowControl/>
              <w:spacing w:line="240" w:lineRule="atLeast"/>
              <w:rPr>
                <w:rFonts w:hint="eastAsia" w:ascii="华文中宋" w:hAnsi="华文中宋" w:eastAsia="华文中宋" w:cs="宋体"/>
                <w:kern w:val="0"/>
                <w:sz w:val="30"/>
                <w:szCs w:val="30"/>
              </w:rPr>
            </w:pPr>
            <w:r>
              <w:rPr>
                <w:rFonts w:hint="eastAsia" w:ascii="华文中宋" w:hAnsi="华文中宋" w:eastAsia="华文中宋" w:cs="宋体"/>
                <w:kern w:val="0"/>
                <w:sz w:val="30"/>
                <w:szCs w:val="30"/>
              </w:rPr>
              <w:t>填报</w:t>
            </w:r>
            <w:r>
              <w:rPr>
                <w:rFonts w:hint="eastAsia" w:ascii="华文中宋" w:hAnsi="华文中宋" w:eastAsia="华文中宋" w:cs="宋体"/>
                <w:kern w:val="0"/>
                <w:sz w:val="30"/>
                <w:szCs w:val="30"/>
                <w:lang w:eastAsia="zh-CN"/>
              </w:rPr>
              <w:t>单位</w:t>
            </w:r>
            <w:r>
              <w:rPr>
                <w:rFonts w:hint="eastAsia" w:ascii="华文中宋" w:hAnsi="华文中宋" w:eastAsia="华文中宋" w:cs="宋体"/>
                <w:kern w:val="0"/>
                <w:sz w:val="30"/>
                <w:szCs w:val="30"/>
              </w:rPr>
              <w:t>：                                                             填报时间：   年   月  日</w:t>
            </w:r>
          </w:p>
        </w:tc>
      </w:tr>
      <w:tr>
        <w:tblPrEx>
          <w:tblLayout w:type="fixed"/>
          <w:tblCellMar>
            <w:top w:w="0" w:type="dxa"/>
            <w:left w:w="108" w:type="dxa"/>
            <w:bottom w:w="0" w:type="dxa"/>
            <w:right w:w="108" w:type="dxa"/>
          </w:tblCellMar>
        </w:tblPrEx>
        <w:trPr>
          <w:trHeight w:val="377"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lang w:eastAsia="zh-CN"/>
              </w:rPr>
            </w:pPr>
            <w:r>
              <w:rPr>
                <w:rFonts w:hint="eastAsia" w:ascii="黑体" w:hAnsi="宋体" w:eastAsia="黑体" w:cs="宋体"/>
                <w:b/>
                <w:bCs/>
                <w:kern w:val="0"/>
                <w:sz w:val="28"/>
                <w:szCs w:val="28"/>
                <w:lang w:eastAsia="zh-CN"/>
              </w:rPr>
              <w:t>序号</w:t>
            </w:r>
          </w:p>
        </w:tc>
        <w:tc>
          <w:tcPr>
            <w:tcW w:w="1507"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时间</w:t>
            </w:r>
          </w:p>
        </w:tc>
        <w:tc>
          <w:tcPr>
            <w:tcW w:w="332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主题</w:t>
            </w:r>
          </w:p>
        </w:tc>
        <w:tc>
          <w:tcPr>
            <w:tcW w:w="1551"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律师</w:t>
            </w:r>
          </w:p>
        </w:tc>
        <w:tc>
          <w:tcPr>
            <w:tcW w:w="1463"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地点</w:t>
            </w:r>
          </w:p>
        </w:tc>
        <w:tc>
          <w:tcPr>
            <w:tcW w:w="3252"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内容</w:t>
            </w:r>
          </w:p>
        </w:tc>
        <w:tc>
          <w:tcPr>
            <w:tcW w:w="2583"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lang w:eastAsia="zh-CN"/>
              </w:rPr>
              <w:t>参加</w:t>
            </w:r>
            <w:r>
              <w:rPr>
                <w:rFonts w:hint="eastAsia" w:ascii="黑体" w:hAnsi="宋体" w:eastAsia="黑体" w:cs="宋体"/>
                <w:b/>
                <w:bCs/>
                <w:kern w:val="0"/>
                <w:sz w:val="28"/>
                <w:szCs w:val="28"/>
              </w:rPr>
              <w:t>人数</w:t>
            </w:r>
          </w:p>
        </w:tc>
      </w:tr>
      <w:tr>
        <w:tblPrEx>
          <w:tblLayout w:type="fixed"/>
          <w:tblCellMar>
            <w:top w:w="0" w:type="dxa"/>
            <w:left w:w="108" w:type="dxa"/>
            <w:bottom w:w="0" w:type="dxa"/>
            <w:right w:w="108" w:type="dxa"/>
          </w:tblCellMar>
        </w:tblPrEx>
        <w:trPr>
          <w:trHeight w:val="377"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507"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3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lang w:eastAsia="zh-CN"/>
              </w:rPr>
            </w:pPr>
          </w:p>
        </w:tc>
        <w:tc>
          <w:tcPr>
            <w:tcW w:w="155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463"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3252"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2583"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r>
      <w:tr>
        <w:tblPrEx>
          <w:tblLayout w:type="fixed"/>
          <w:tblCellMar>
            <w:top w:w="0" w:type="dxa"/>
            <w:left w:w="108" w:type="dxa"/>
            <w:bottom w:w="0" w:type="dxa"/>
            <w:right w:w="108" w:type="dxa"/>
          </w:tblCellMar>
        </w:tblPrEx>
        <w:trPr>
          <w:trHeight w:val="381"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507"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3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kern w:val="0"/>
                <w:sz w:val="28"/>
                <w:szCs w:val="28"/>
              </w:rPr>
            </w:pPr>
          </w:p>
        </w:tc>
        <w:tc>
          <w:tcPr>
            <w:tcW w:w="155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463"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3252"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2583"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r>
      <w:tr>
        <w:tblPrEx>
          <w:tblLayout w:type="fixed"/>
          <w:tblCellMar>
            <w:top w:w="0" w:type="dxa"/>
            <w:left w:w="108" w:type="dxa"/>
            <w:bottom w:w="0" w:type="dxa"/>
            <w:right w:w="108" w:type="dxa"/>
          </w:tblCellMar>
        </w:tblPrEx>
        <w:trPr>
          <w:trHeight w:val="377"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150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3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p>
        </w:tc>
        <w:tc>
          <w:tcPr>
            <w:tcW w:w="15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146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325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258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r>
      <w:tr>
        <w:tblPrEx>
          <w:tblLayout w:type="fixed"/>
          <w:tblCellMar>
            <w:top w:w="0" w:type="dxa"/>
            <w:left w:w="108" w:type="dxa"/>
            <w:bottom w:w="0" w:type="dxa"/>
            <w:right w:w="108" w:type="dxa"/>
          </w:tblCellMar>
        </w:tblPrEx>
        <w:trPr>
          <w:trHeight w:val="377"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1507"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3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8"/>
                <w:lang w:eastAsia="zh-CN"/>
              </w:rPr>
            </w:pPr>
          </w:p>
        </w:tc>
        <w:tc>
          <w:tcPr>
            <w:tcW w:w="155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1463"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3252"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2583"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r>
      <w:tr>
        <w:tblPrEx>
          <w:tblLayout w:type="fixed"/>
          <w:tblCellMar>
            <w:top w:w="0" w:type="dxa"/>
            <w:left w:w="108" w:type="dxa"/>
            <w:bottom w:w="0" w:type="dxa"/>
            <w:right w:w="108" w:type="dxa"/>
          </w:tblCellMar>
        </w:tblPrEx>
        <w:trPr>
          <w:trHeight w:val="360"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1507"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3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p>
        </w:tc>
        <w:tc>
          <w:tcPr>
            <w:tcW w:w="155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1463"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3252"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2583"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r>
      <w:tr>
        <w:tblPrEx>
          <w:tblLayout w:type="fixed"/>
          <w:tblCellMar>
            <w:top w:w="0" w:type="dxa"/>
            <w:left w:w="108" w:type="dxa"/>
            <w:bottom w:w="0" w:type="dxa"/>
            <w:right w:w="108" w:type="dxa"/>
          </w:tblCellMar>
        </w:tblPrEx>
        <w:trPr>
          <w:trHeight w:val="360"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1507"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3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155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1463"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3252"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c>
          <w:tcPr>
            <w:tcW w:w="2583"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8"/>
                <w:szCs w:val="28"/>
              </w:rPr>
            </w:pPr>
          </w:p>
        </w:tc>
      </w:tr>
    </w:tbl>
    <w:p>
      <w:pPr>
        <w:pStyle w:val="3"/>
        <w:spacing w:before="0" w:beforeAutospacing="0" w:after="0" w:afterAutospacing="0" w:line="560" w:lineRule="exact"/>
        <w:rPr>
          <w:rFonts w:hint="eastAsia" w:ascii="黑体" w:hAnsi="仿宋" w:eastAsia="黑体" w:cs="仿宋"/>
          <w:kern w:val="2"/>
          <w:sz w:val="32"/>
          <w:szCs w:val="32"/>
        </w:rPr>
      </w:pPr>
    </w:p>
    <w:p>
      <w:pPr>
        <w:pStyle w:val="3"/>
        <w:spacing w:before="0" w:beforeAutospacing="0" w:after="0" w:afterAutospacing="0" w:line="560" w:lineRule="exact"/>
        <w:rPr>
          <w:rFonts w:hint="eastAsia" w:ascii="黑体" w:hAnsi="仿宋" w:eastAsia="黑体" w:cs="仿宋"/>
          <w:kern w:val="2"/>
          <w:sz w:val="32"/>
          <w:szCs w:val="32"/>
        </w:rPr>
      </w:pPr>
    </w:p>
    <w:p>
      <w:pPr>
        <w:pStyle w:val="3"/>
        <w:spacing w:before="0" w:beforeAutospacing="0" w:after="0" w:afterAutospacing="0" w:line="560" w:lineRule="exact"/>
        <w:rPr>
          <w:rFonts w:hint="eastAsia" w:ascii="黑体" w:hAnsi="仿宋" w:eastAsia="黑体" w:cs="仿宋"/>
          <w:kern w:val="2"/>
          <w:sz w:val="32"/>
          <w:szCs w:val="32"/>
        </w:rPr>
      </w:pPr>
    </w:p>
    <w:p>
      <w:pPr>
        <w:pStyle w:val="3"/>
        <w:spacing w:before="0" w:beforeAutospacing="0" w:after="0" w:afterAutospacing="0" w:line="560" w:lineRule="exact"/>
        <w:rPr>
          <w:rFonts w:hint="eastAsia" w:ascii="黑体" w:hAnsi="仿宋" w:eastAsia="黑体" w:cs="仿宋"/>
          <w:kern w:val="2"/>
          <w:sz w:val="32"/>
          <w:szCs w:val="32"/>
        </w:rPr>
      </w:pPr>
      <w:r>
        <w:rPr>
          <w:rFonts w:hint="eastAsia" w:ascii="黑体" w:hAnsi="仿宋" w:eastAsia="黑体" w:cs="仿宋"/>
          <w:kern w:val="2"/>
          <w:sz w:val="32"/>
          <w:szCs w:val="32"/>
          <w:lang w:eastAsia="zh-CN"/>
        </w:rPr>
        <w:t>附件２</w:t>
      </w:r>
    </w:p>
    <w:p>
      <w:pPr>
        <w:pStyle w:val="3"/>
        <w:spacing w:before="0" w:beforeAutospacing="0" w:after="0" w:afterAutospacing="0" w:line="560" w:lineRule="exact"/>
        <w:rPr>
          <w:rFonts w:hint="eastAsia" w:ascii="黑体" w:hAnsi="仿宋" w:eastAsia="黑体" w:cs="仿宋"/>
          <w:kern w:val="2"/>
          <w:sz w:val="32"/>
          <w:szCs w:val="32"/>
        </w:rPr>
      </w:pPr>
    </w:p>
    <w:tbl>
      <w:tblPr>
        <w:tblStyle w:val="7"/>
        <w:tblW w:w="14566" w:type="dxa"/>
        <w:jc w:val="center"/>
        <w:tblInd w:w="0" w:type="dxa"/>
        <w:tblLayout w:type="fixed"/>
        <w:tblCellMar>
          <w:top w:w="0" w:type="dxa"/>
          <w:left w:w="108" w:type="dxa"/>
          <w:bottom w:w="0" w:type="dxa"/>
          <w:right w:w="108" w:type="dxa"/>
        </w:tblCellMar>
      </w:tblPr>
      <w:tblGrid>
        <w:gridCol w:w="881"/>
        <w:gridCol w:w="1507"/>
        <w:gridCol w:w="2763"/>
        <w:gridCol w:w="2117"/>
        <w:gridCol w:w="1463"/>
        <w:gridCol w:w="1914"/>
        <w:gridCol w:w="1960"/>
        <w:gridCol w:w="1961"/>
      </w:tblGrid>
      <w:tr>
        <w:tblPrEx>
          <w:tblLayout w:type="fixed"/>
          <w:tblCellMar>
            <w:top w:w="0" w:type="dxa"/>
            <w:left w:w="108" w:type="dxa"/>
            <w:bottom w:w="0" w:type="dxa"/>
            <w:right w:w="108" w:type="dxa"/>
          </w:tblCellMar>
        </w:tblPrEx>
        <w:trPr>
          <w:trHeight w:val="501" w:hRule="atLeast"/>
          <w:jc w:val="center"/>
        </w:trPr>
        <w:tc>
          <w:tcPr>
            <w:tcW w:w="14566" w:type="dxa"/>
            <w:gridSpan w:val="8"/>
            <w:tcBorders>
              <w:top w:val="nil"/>
              <w:left w:val="nil"/>
              <w:bottom w:val="single" w:color="auto" w:sz="4" w:space="0"/>
              <w:right w:val="nil"/>
            </w:tcBorders>
            <w:vAlign w:val="bottom"/>
          </w:tcPr>
          <w:p>
            <w:pPr>
              <w:widowControl/>
              <w:spacing w:line="24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“千名青年律师千场青少年法律服务”活动统计表</w:t>
            </w:r>
          </w:p>
          <w:p>
            <w:pPr>
              <w:widowControl/>
              <w:spacing w:line="240" w:lineRule="atLeast"/>
              <w:rPr>
                <w:rFonts w:hint="eastAsia" w:ascii="华文中宋" w:hAnsi="华文中宋" w:eastAsia="华文中宋" w:cs="宋体"/>
                <w:kern w:val="0"/>
                <w:sz w:val="30"/>
                <w:szCs w:val="30"/>
              </w:rPr>
            </w:pPr>
            <w:r>
              <w:rPr>
                <w:rFonts w:hint="eastAsia" w:ascii="华文中宋" w:hAnsi="华文中宋" w:eastAsia="华文中宋" w:cs="宋体"/>
                <w:kern w:val="0"/>
                <w:sz w:val="30"/>
                <w:szCs w:val="30"/>
              </w:rPr>
              <w:t>填报</w:t>
            </w:r>
            <w:r>
              <w:rPr>
                <w:rFonts w:hint="eastAsia" w:ascii="华文中宋" w:hAnsi="华文中宋" w:eastAsia="华文中宋" w:cs="宋体"/>
                <w:kern w:val="0"/>
                <w:sz w:val="30"/>
                <w:szCs w:val="30"/>
                <w:lang w:eastAsia="zh-CN"/>
              </w:rPr>
              <w:t>单位</w:t>
            </w:r>
            <w:r>
              <w:rPr>
                <w:rFonts w:hint="eastAsia" w:ascii="华文中宋" w:hAnsi="华文中宋" w:eastAsia="华文中宋" w:cs="宋体"/>
                <w:kern w:val="0"/>
                <w:sz w:val="30"/>
                <w:szCs w:val="30"/>
              </w:rPr>
              <w:t>：                                                             填报时间：   年   月  日</w:t>
            </w:r>
          </w:p>
        </w:tc>
      </w:tr>
      <w:tr>
        <w:tblPrEx>
          <w:tblLayout w:type="fixed"/>
          <w:tblCellMar>
            <w:top w:w="0" w:type="dxa"/>
            <w:left w:w="108" w:type="dxa"/>
            <w:bottom w:w="0" w:type="dxa"/>
            <w:right w:w="108" w:type="dxa"/>
          </w:tblCellMar>
        </w:tblPrEx>
        <w:trPr>
          <w:trHeight w:val="377"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lang w:eastAsia="zh-CN"/>
              </w:rPr>
            </w:pPr>
            <w:r>
              <w:rPr>
                <w:rFonts w:hint="eastAsia" w:ascii="黑体" w:hAnsi="宋体" w:eastAsia="黑体" w:cs="宋体"/>
                <w:b/>
                <w:bCs/>
                <w:kern w:val="0"/>
                <w:sz w:val="28"/>
                <w:szCs w:val="28"/>
                <w:lang w:eastAsia="zh-CN"/>
              </w:rPr>
              <w:t>序号</w:t>
            </w:r>
          </w:p>
        </w:tc>
        <w:tc>
          <w:tcPr>
            <w:tcW w:w="1507"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时间</w:t>
            </w:r>
          </w:p>
        </w:tc>
        <w:tc>
          <w:tcPr>
            <w:tcW w:w="2763"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主题</w:t>
            </w:r>
          </w:p>
        </w:tc>
        <w:tc>
          <w:tcPr>
            <w:tcW w:w="2117"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律师</w:t>
            </w:r>
          </w:p>
        </w:tc>
        <w:tc>
          <w:tcPr>
            <w:tcW w:w="1463"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地点</w:t>
            </w:r>
          </w:p>
        </w:tc>
        <w:tc>
          <w:tcPr>
            <w:tcW w:w="1914"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内容</w:t>
            </w:r>
          </w:p>
        </w:tc>
        <w:tc>
          <w:tcPr>
            <w:tcW w:w="1960"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lang w:eastAsia="zh-CN"/>
              </w:rPr>
              <w:t>参加</w:t>
            </w:r>
            <w:r>
              <w:rPr>
                <w:rFonts w:hint="eastAsia" w:ascii="黑体" w:hAnsi="宋体" w:eastAsia="黑体" w:cs="宋体"/>
                <w:b/>
                <w:bCs/>
                <w:kern w:val="0"/>
                <w:sz w:val="28"/>
                <w:szCs w:val="28"/>
              </w:rPr>
              <w:t>人数</w:t>
            </w:r>
          </w:p>
        </w:tc>
        <w:tc>
          <w:tcPr>
            <w:tcW w:w="196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lang w:eastAsia="zh-CN"/>
              </w:rPr>
            </w:pPr>
            <w:r>
              <w:rPr>
                <w:rFonts w:hint="eastAsia" w:ascii="黑体" w:hAnsi="宋体" w:eastAsia="黑体" w:cs="宋体"/>
                <w:b/>
                <w:bCs/>
                <w:kern w:val="0"/>
                <w:sz w:val="28"/>
                <w:szCs w:val="28"/>
                <w:lang w:eastAsia="zh-CN"/>
              </w:rPr>
              <w:t>佐证材料</w:t>
            </w:r>
          </w:p>
        </w:tc>
      </w:tr>
      <w:tr>
        <w:tblPrEx>
          <w:tblLayout w:type="fixed"/>
          <w:tblCellMar>
            <w:top w:w="0" w:type="dxa"/>
            <w:left w:w="108" w:type="dxa"/>
            <w:bottom w:w="0" w:type="dxa"/>
            <w:right w:w="108" w:type="dxa"/>
          </w:tblCellMar>
        </w:tblPrEx>
        <w:trPr>
          <w:trHeight w:val="377"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507"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lang w:eastAsia="zh-CN"/>
              </w:rPr>
            </w:pPr>
          </w:p>
        </w:tc>
        <w:tc>
          <w:tcPr>
            <w:tcW w:w="2117"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463"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914"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960"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96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r>
      <w:tr>
        <w:tblPrEx>
          <w:tblLayout w:type="fixed"/>
          <w:tblCellMar>
            <w:top w:w="0" w:type="dxa"/>
            <w:left w:w="108" w:type="dxa"/>
            <w:bottom w:w="0" w:type="dxa"/>
            <w:right w:w="108" w:type="dxa"/>
          </w:tblCellMar>
        </w:tblPrEx>
        <w:trPr>
          <w:trHeight w:val="381"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507"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kern w:val="0"/>
                <w:sz w:val="28"/>
                <w:szCs w:val="28"/>
              </w:rPr>
            </w:pPr>
          </w:p>
        </w:tc>
        <w:tc>
          <w:tcPr>
            <w:tcW w:w="2117"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463"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914"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960" w:type="dxa"/>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196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r>
      <w:tr>
        <w:tblPrEx>
          <w:tblLayout w:type="fixed"/>
          <w:tblCellMar>
            <w:top w:w="0" w:type="dxa"/>
            <w:left w:w="108" w:type="dxa"/>
            <w:bottom w:w="0" w:type="dxa"/>
            <w:right w:w="108" w:type="dxa"/>
          </w:tblCellMar>
        </w:tblPrEx>
        <w:trPr>
          <w:trHeight w:val="381"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507"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276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kern w:val="0"/>
                <w:sz w:val="28"/>
                <w:szCs w:val="28"/>
              </w:rPr>
            </w:pPr>
          </w:p>
        </w:tc>
        <w:tc>
          <w:tcPr>
            <w:tcW w:w="2117"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463"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14"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6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6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r>
      <w:tr>
        <w:tblPrEx>
          <w:tblLayout w:type="fixed"/>
          <w:tblCellMar>
            <w:top w:w="0" w:type="dxa"/>
            <w:left w:w="108" w:type="dxa"/>
            <w:bottom w:w="0" w:type="dxa"/>
            <w:right w:w="108" w:type="dxa"/>
          </w:tblCellMar>
        </w:tblPrEx>
        <w:trPr>
          <w:trHeight w:val="381"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507"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276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kern w:val="0"/>
                <w:sz w:val="28"/>
                <w:szCs w:val="28"/>
              </w:rPr>
            </w:pPr>
          </w:p>
        </w:tc>
        <w:tc>
          <w:tcPr>
            <w:tcW w:w="2117"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463"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14"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6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6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r>
      <w:tr>
        <w:tblPrEx>
          <w:tblLayout w:type="fixed"/>
          <w:tblCellMar>
            <w:top w:w="0" w:type="dxa"/>
            <w:left w:w="108" w:type="dxa"/>
            <w:bottom w:w="0" w:type="dxa"/>
            <w:right w:w="108" w:type="dxa"/>
          </w:tblCellMar>
        </w:tblPrEx>
        <w:trPr>
          <w:trHeight w:val="381"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507"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276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kern w:val="0"/>
                <w:sz w:val="28"/>
                <w:szCs w:val="28"/>
              </w:rPr>
            </w:pPr>
          </w:p>
        </w:tc>
        <w:tc>
          <w:tcPr>
            <w:tcW w:w="2117"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463"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14"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6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6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r>
      <w:tr>
        <w:tblPrEx>
          <w:tblLayout w:type="fixed"/>
          <w:tblCellMar>
            <w:top w:w="0" w:type="dxa"/>
            <w:left w:w="108" w:type="dxa"/>
            <w:bottom w:w="0" w:type="dxa"/>
            <w:right w:w="108" w:type="dxa"/>
          </w:tblCellMar>
        </w:tblPrEx>
        <w:trPr>
          <w:trHeight w:val="381" w:hRule="atLeast"/>
          <w:jc w:val="center"/>
        </w:trPr>
        <w:tc>
          <w:tcPr>
            <w:tcW w:w="881"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507"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276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kern w:val="0"/>
                <w:sz w:val="28"/>
                <w:szCs w:val="28"/>
              </w:rPr>
            </w:pPr>
          </w:p>
        </w:tc>
        <w:tc>
          <w:tcPr>
            <w:tcW w:w="2117"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463"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14"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6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c>
          <w:tcPr>
            <w:tcW w:w="196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8"/>
                <w:szCs w:val="28"/>
              </w:rPr>
            </w:pPr>
          </w:p>
        </w:tc>
      </w:tr>
    </w:tbl>
    <w:p>
      <w:pPr>
        <w:spacing w:before="156" w:beforeLines="50" w:line="400" w:lineRule="exact"/>
        <w:rPr>
          <w:rFonts w:hint="eastAsia" w:ascii="仿宋_GB2312" w:eastAsia="仿宋_GB2312"/>
          <w:sz w:val="28"/>
          <w:szCs w:val="28"/>
        </w:rPr>
      </w:pPr>
    </w:p>
    <w:p>
      <w:pPr>
        <w:rPr>
          <w:rFonts w:hint="eastAsia" w:ascii="方正仿宋_GBK" w:hAnsi="方正仿宋_GBK" w:eastAsia="方正仿宋_GBK" w:cs="方正仿宋_GBK"/>
          <w:sz w:val="32"/>
          <w:szCs w:val="32"/>
        </w:rPr>
      </w:pPr>
      <w:bookmarkStart w:id="0" w:name="_GoBack"/>
      <w:bookmarkEnd w:id="0"/>
    </w:p>
    <w:sectPr>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B5C74"/>
    <w:rsid w:val="70FB5C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uiPriority w:val="0"/>
    <w:rPr>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
    <w:name w:val="_Style 1"/>
    <w:basedOn w:val="1"/>
    <w:link w:val="4"/>
    <w:qFormat/>
    <w:uiPriority w:val="0"/>
    <w:rPr>
      <w:szCs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2017-12-08T01:39:00Z</dcterms:created>
  <dc:creator>贠德政</dc:creator>
  <cp:lastModifiedBy>贠德政</cp:lastModifiedBy>
  <dcterms:modified xsi:type="dcterms:W3CDTF">2017-12-08T01:49:17Z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