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小标宋简体" w:hAnsi="方正小标宋简体" w:eastAsia="方正小标宋简体" w:cs="方正小标宋简体"/>
          <w:sz w:val="44"/>
          <w:szCs w:val="44"/>
          <w:lang w:eastAsia="zh-CN"/>
        </w:rPr>
      </w:pPr>
      <w:bookmarkStart w:id="0" w:name="_GoBack"/>
      <w:r>
        <w:rPr>
          <w:rFonts w:hint="eastAsia" w:ascii="方正小标宋简体" w:hAnsi="方正小标宋简体" w:eastAsia="方正小标宋简体" w:cs="方正小标宋简体"/>
          <w:sz w:val="44"/>
          <w:szCs w:val="44"/>
          <w:lang w:eastAsia="zh-CN"/>
        </w:rPr>
        <w:t>第十三届广东大学生校园文体艺术节之</w:t>
      </w:r>
    </w:p>
    <w:p>
      <w:pPr>
        <w:keepNext w:val="0"/>
        <w:keepLines w:val="0"/>
        <w:pageBreakBefore w:val="0"/>
        <w:widowControl w:val="0"/>
        <w:kinsoku/>
        <w:wordWrap/>
        <w:overflowPunct/>
        <w:topLinePunct w:val="0"/>
        <w:autoSpaceDE/>
        <w:autoSpaceDN/>
        <w:bidi w:val="0"/>
        <w:adjustRightInd w:val="0"/>
        <w:snapToGrid w:val="0"/>
        <w:spacing w:line="720" w:lineRule="exact"/>
        <w:jc w:val="center"/>
        <w:textAlignment w:val="auto"/>
        <w:outlineLvl w:val="9"/>
        <w:rPr>
          <w:rFonts w:hint="eastAsia" w:ascii="方正小标宋简体" w:hAnsi="方正小标宋简体" w:eastAsia="方正小标宋简体" w:cs="方正小标宋简体"/>
          <w:lang w:eastAsia="zh-CN"/>
        </w:rPr>
      </w:pPr>
      <w:r>
        <w:rPr>
          <w:rFonts w:hint="eastAsia" w:ascii="方正小标宋简体" w:hAnsi="方正小标宋简体" w:eastAsia="方正小标宋简体" w:cs="方正小标宋简体"/>
          <w:sz w:val="44"/>
          <w:szCs w:val="44"/>
          <w:lang w:eastAsia="zh-CN"/>
        </w:rPr>
        <w:t>广东大学生安全生产海报设计大赛的通知</w:t>
      </w:r>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各高校团委、学生会、研究生会：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为深入学习贯彻习近平新时代中国特色社会主义思想和党的十九大精神，引导学生掌握安全知识，加大安全宣传教育力度，营造浓厚的安全教育氛围，按照《关于举办第十三届广东大学生校园文体艺术节的通知》要求，经研究决定举办</w:t>
      </w:r>
      <w:r>
        <w:rPr>
          <w:rFonts w:hint="eastAsia" w:ascii="方正仿宋_GBK" w:hAnsi="方正仿宋_GBK" w:eastAsia="方正仿宋_GBK" w:cs="方正仿宋_GBK"/>
          <w:sz w:val="32"/>
          <w:szCs w:val="32"/>
          <w:lang w:eastAsia="zh-CN"/>
        </w:rPr>
        <w:t>广东大学生安全生产海报设计大赛。现将相关事项通知如下：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一、活动主题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平安校园在我心 安全行动手中行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二、组织机构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主办单位：共青团广东省委员会、广东省教育厅、广东省文化和旅游厅、广东省体育局、广东省学生联合会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承办单位：广东技术师范学院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三、参赛对象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广东省高校全日研究生、本科生、专科生，专业不限。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w:t>
      </w:r>
      <w:r>
        <w:rPr>
          <w:rFonts w:hint="eastAsia" w:ascii="方正黑体_GBK" w:hAnsi="方正黑体_GBK" w:eastAsia="方正黑体_GBK" w:cs="方正黑体_GBK"/>
          <w:sz w:val="32"/>
          <w:szCs w:val="32"/>
          <w:lang w:val="en-US" w:eastAsia="zh-CN"/>
        </w:rPr>
        <w:t>四、参赛形式及安排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（一）参赛方式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参赛选手将参赛作品《报名表》、海报设计作品原图提交所属高校。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sz w:val="32"/>
          <w:szCs w:val="32"/>
          <w:lang w:val="en-US" w:eastAsia="zh-CN"/>
        </w:rPr>
        <w:t>各高校团委于11月30日前将本校所有参赛作品（推荐数量不超过5件）《作品汇总表》、《报名表》、海报设计作品上传至邮箱：XXSHXCDYB@163.com邮件标题为：“姓名＋学校＋作品名称＋联系方式”；参赛作品原图（光盘）统</w:t>
      </w:r>
      <w:r>
        <w:rPr>
          <w:rFonts w:hint="eastAsia" w:ascii="方正仿宋_GBK" w:hAnsi="方正仿宋_GBK" w:eastAsia="方正仿宋_GBK" w:cs="方正仿宋_GBK"/>
          <w:color w:val="auto"/>
          <w:sz w:val="32"/>
          <w:szCs w:val="32"/>
          <w:lang w:val="en-US" w:eastAsia="zh-CN"/>
        </w:rPr>
        <w:t>一寄送至大赛承办单位：广东技术师范学院（地址：</w:t>
      </w:r>
      <w:r>
        <w:rPr>
          <w:rFonts w:hint="eastAsia" w:ascii="方正仿宋_GBK" w:hAnsi="方正仿宋_GBK" w:eastAsia="方正仿宋_GBK" w:cs="方正仿宋_GBK"/>
          <w:color w:val="auto"/>
          <w:sz w:val="32"/>
          <w:szCs w:val="32"/>
        </w:rPr>
        <w:t>广州市天河区中山大道西293号广东技术师范学院综合馆5楼团委办公室</w:t>
      </w:r>
      <w:r>
        <w:rPr>
          <w:rFonts w:hint="eastAsia" w:ascii="方正仿宋_GBK" w:hAnsi="方正仿宋_GBK" w:eastAsia="方正仿宋_GBK" w:cs="方正仿宋_GBK"/>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（二）作品要求</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1.作品主题以“平安校园在我心，安全行动手中行”为主题，内容要求健康向上、主题鲜明，从不同角度、不同层次去挖掘和表现主题，具有相应的内涵和表现力及一定的视觉冲击力。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2.参赛作品以电子稿形式提交，宽＞＝600px，高＞＝600px，请上传jpg、jpeg、png、gif格式的作品，文件大小不少于3MB；参赛作品高精度的设计原图（如AI、CDR、PSD、PNG等格式），需刻录成光盘一并提交。</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作品中如使用他人肖像或者照片元素，必须注明来源，并取得书面认可；大赛及大赛组委会只负责考察作品本身的质量，作品内容所涉及的版权问题由参赛者本人负责；凡涉嫌抄袭或涉及知识产权问题的作品，将自动取消参赛资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（三）评选方式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1.初赛：12月7日前，组织专家对各高校提交作品进行评选，评选选出40件优秀作品入围决赛。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2.决赛：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（1）从40件入围决赛的优秀作品中评选出一等奖5件、二等奖15件、三等奖20件，并授予获奖证书（初赛作品评选成绩不计入决赛评选成绩）。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入围决赛的40件优秀作品同时在“广东学联”公众号上进行展示，12月20日前接受公众网上投票，每人每天可以投一票，按投票数从高到低评选最佳人气奖作品6件（最佳人气奖获奖作品评选不并入决赛评审成绩）。</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（四）评分标准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1.海报主题突出 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2.海报整体美观及协调度 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3.背景图案的绘画技巧以及整体颜色搭配 30%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4.表现手法创新 20%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（五）注意事项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1.参赛者务必填写正确有效的个人信息，确保实名参加。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2.所有参赛作品必须为参赛者本人或团体的原创作品，并经原创作者或团体同意参赛。且作品未在相关媒体上发表过，无违反国家法律法规的内容。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3.作品的所有权归创作者所有，主办方无偿拥有该作品相应的传播使用权，即有权对全部作品进行任何形式的对外推广，包括在公交、地铁、社区、学校、机关、厂房等，作者享有署名权。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4.参赛者无需支付报名费或任何相关费用。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5.凡是提交作品的参赛者，均视为自愿接受上述各项条款。</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6.各高校要及时做好线上线下宣传工作，利用校内广播等，营造浓厚的参赛氛围。同时，充分利用微博微信等新媒体开展线上线下宣传。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主办方有权根据实际情况对比赛内容、规则、奖项设置等大赛有关事项进行调整，大赛解释权归大赛主办方。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黑体_GBK" w:hAnsi="方正黑体_GBK" w:eastAsia="方正黑体_GBK" w:cs="方正黑体_GBK"/>
          <w:sz w:val="32"/>
          <w:szCs w:val="32"/>
          <w:lang w:val="en-US" w:eastAsia="zh-CN"/>
        </w:rPr>
        <w:t>五、联系方式</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（一）广东技术师范学院</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联系人：</w:t>
      </w:r>
      <w:r>
        <w:rPr>
          <w:rFonts w:hint="eastAsia" w:ascii="方正仿宋_GBK" w:hAnsi="方正仿宋_GBK" w:eastAsia="方正仿宋_GBK" w:cs="方正仿宋_GBK"/>
          <w:color w:val="FF0000"/>
          <w:sz w:val="32"/>
          <w:szCs w:val="32"/>
          <w:lang w:val="en-US" w:eastAsia="zh-CN"/>
        </w:rPr>
        <w:t>孙明浩</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联系电话:</w:t>
      </w:r>
      <w:r>
        <w:rPr>
          <w:rFonts w:hint="eastAsia" w:ascii="方正仿宋_GBK" w:hAnsi="方正仿宋_GBK" w:eastAsia="方正仿宋_GBK" w:cs="方正仿宋_GBK"/>
          <w:color w:val="auto"/>
          <w:sz w:val="32"/>
          <w:szCs w:val="32"/>
        </w:rPr>
        <w:t>020-</w:t>
      </w:r>
      <w:r>
        <w:rPr>
          <w:rFonts w:hint="eastAsia" w:ascii="方正仿宋_GBK" w:hAnsi="方正仿宋_GBK" w:eastAsia="方正仿宋_GBK" w:cs="方正仿宋_GBK"/>
          <w:color w:val="auto"/>
          <w:sz w:val="32"/>
          <w:szCs w:val="32"/>
          <w:lang w:val="en-US" w:eastAsia="zh-CN"/>
        </w:rPr>
        <w:t>38256616</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工作邮箱：</w:t>
      </w:r>
      <w:r>
        <w:rPr>
          <w:rFonts w:hint="eastAsia" w:ascii="方正仿宋_GBK" w:hAnsi="方正仿宋_GBK" w:eastAsia="方正仿宋_GBK" w:cs="方正仿宋_GBK"/>
          <w:color w:val="auto"/>
          <w:sz w:val="32"/>
          <w:szCs w:val="32"/>
        </w:rPr>
        <w:t>gjsxtw@163.com</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地址：</w:t>
      </w:r>
      <w:r>
        <w:rPr>
          <w:rFonts w:hint="eastAsia" w:ascii="方正仿宋_GBK" w:hAnsi="方正仿宋_GBK" w:eastAsia="方正仿宋_GBK" w:cs="方正仿宋_GBK"/>
          <w:color w:val="FF0000"/>
          <w:sz w:val="32"/>
          <w:szCs w:val="32"/>
          <w:lang w:val="en-US" w:eastAsia="zh-CN"/>
        </w:rPr>
        <w:t>广州市天河区中山大道西293号</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邮编：</w:t>
      </w:r>
      <w:r>
        <w:rPr>
          <w:rFonts w:hint="eastAsia" w:ascii="方正仿宋_GBK" w:hAnsi="方正仿宋_GBK" w:eastAsia="方正仿宋_GBK" w:cs="方正仿宋_GBK"/>
          <w:color w:val="FF0000"/>
          <w:sz w:val="32"/>
          <w:szCs w:val="32"/>
          <w:lang w:val="en-US" w:eastAsia="zh-CN"/>
        </w:rPr>
        <w:t>510665</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firstLine="640" w:firstLineChars="200"/>
        <w:jc w:val="both"/>
        <w:textAlignment w:val="auto"/>
        <w:outlineLvl w:val="9"/>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lang w:val="en-US" w:eastAsia="zh-CN"/>
        </w:rPr>
        <w:t>（二）团省委学校部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联系人：徐子轩</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联系电话：020-87185614</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附件：1.广东大学生安全生产海报设计大赛报名表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2.广东大学生安全生产海报设计大赛汇总表</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 xml:space="preserve">         第十三届广东大学生校园文化艺术组委会办公室</w:t>
      </w:r>
    </w:p>
    <w:p>
      <w:pPr>
        <w:keepNext w:val="0"/>
        <w:keepLines w:val="0"/>
        <w:pageBreakBefore w:val="0"/>
        <w:widowControl w:val="0"/>
        <w:kinsoku/>
        <w:wordWrap/>
        <w:overflowPunct/>
        <w:topLinePunct w:val="0"/>
        <w:autoSpaceDE/>
        <w:autoSpaceDN/>
        <w:bidi w:val="0"/>
        <w:adjustRightInd/>
        <w:snapToGrid/>
        <w:spacing w:line="560" w:lineRule="exact"/>
        <w:ind w:firstLine="4160" w:firstLineChars="13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2018年11月7日</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outlineLvl w:val="9"/>
        <w:rPr>
          <w:rFonts w:hint="eastAsia" w:ascii="方正小标宋_GBK" w:hAnsi="方正小标宋_GBK" w:eastAsia="方正小标宋_GBK" w:cs="方正小标宋_GBK"/>
          <w:sz w:val="32"/>
          <w:szCs w:val="32"/>
          <w:lang w:val="en-US" w:eastAsia="zh-CN"/>
        </w:rPr>
      </w:pPr>
      <w:r>
        <w:rPr>
          <w:rFonts w:hint="eastAsia" w:ascii="方正小标宋_GBK" w:hAnsi="方正小标宋_GBK" w:eastAsia="方正小标宋_GBK" w:cs="方正小标宋_GBK"/>
          <w:sz w:val="32"/>
          <w:szCs w:val="32"/>
          <w:lang w:eastAsia="zh-CN"/>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第十三届广东大学生校园文体艺术节之</w:t>
      </w:r>
    </w:p>
    <w:p>
      <w:pPr>
        <w:keepNext w:val="0"/>
        <w:keepLines w:val="0"/>
        <w:pageBreakBefore w:val="0"/>
        <w:widowControl w:val="0"/>
        <w:numPr>
          <w:ilvl w:val="0"/>
          <w:numId w:val="0"/>
        </w:numPr>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广东大学生安全生产海报设计大赛报名表</w:t>
      </w:r>
    </w:p>
    <w:tbl>
      <w:tblPr>
        <w:tblStyle w:val="11"/>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2166"/>
        <w:gridCol w:w="2200"/>
        <w:gridCol w:w="2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lang w:eastAsia="zh-CN"/>
              </w:rPr>
              <w:t>学</w:t>
            </w:r>
            <w:r>
              <w:rPr>
                <w:rFonts w:hint="eastAsia" w:ascii="方正仿宋_GBK" w:hAnsi="方正仿宋_GBK" w:eastAsia="方正仿宋_GBK" w:cs="方正仿宋_GBK"/>
                <w:sz w:val="32"/>
                <w:szCs w:val="32"/>
                <w:lang w:val="en-US" w:eastAsia="zh-CN"/>
              </w:rPr>
              <w:t xml:space="preserve">  </w:t>
            </w:r>
            <w:r>
              <w:rPr>
                <w:rFonts w:hint="eastAsia" w:ascii="方正仿宋_GBK" w:hAnsi="方正仿宋_GBK" w:eastAsia="方正仿宋_GBK" w:cs="方正仿宋_GBK"/>
                <w:sz w:val="32"/>
                <w:szCs w:val="32"/>
                <w:lang w:eastAsia="zh-CN"/>
              </w:rPr>
              <w:t>校</w:t>
            </w:r>
          </w:p>
        </w:tc>
        <w:tc>
          <w:tcPr>
            <w:tcW w:w="2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联系人</w:t>
            </w:r>
          </w:p>
        </w:tc>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联系电话</w:t>
            </w:r>
          </w:p>
        </w:tc>
        <w:tc>
          <w:tcPr>
            <w:tcW w:w="21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方正仿宋_GBK" w:hAnsi="方正仿宋_GBK" w:eastAsia="方正仿宋_GBK" w:cs="方正仿宋_GBK"/>
                <w:sz w:val="32"/>
                <w:szCs w:val="32"/>
                <w:vertAlign w:val="baseline"/>
                <w:lang w:val="en-US" w:eastAsia="zh-CN"/>
              </w:rPr>
            </w:pPr>
          </w:p>
        </w:tc>
        <w:tc>
          <w:tcPr>
            <w:tcW w:w="2200"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联系邮箱</w:t>
            </w:r>
          </w:p>
        </w:tc>
        <w:tc>
          <w:tcPr>
            <w:tcW w:w="245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指导老师</w:t>
            </w:r>
          </w:p>
        </w:tc>
        <w:tc>
          <w:tcPr>
            <w:tcW w:w="68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3" w:hRule="atLeast"/>
        </w:trPr>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团队成员</w:t>
            </w:r>
          </w:p>
        </w:tc>
        <w:tc>
          <w:tcPr>
            <w:tcW w:w="68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87" w:hRule="atLeast"/>
        </w:trPr>
        <w:tc>
          <w:tcPr>
            <w:tcW w:w="170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作品简介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r>
              <w:rPr>
                <w:rFonts w:hint="eastAsia" w:ascii="方正仿宋_GBK" w:hAnsi="方正仿宋_GBK" w:eastAsia="方正仿宋_GBK" w:cs="方正仿宋_GBK"/>
                <w:sz w:val="32"/>
                <w:szCs w:val="32"/>
                <w:vertAlign w:val="baseline"/>
                <w:lang w:val="en-US" w:eastAsia="zh-CN"/>
              </w:rPr>
              <w:t>（500字内）</w:t>
            </w:r>
          </w:p>
        </w:tc>
        <w:tc>
          <w:tcPr>
            <w:tcW w:w="6819"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outlineLvl w:val="9"/>
              <w:rPr>
                <w:rFonts w:hint="eastAsia" w:ascii="方正仿宋_GBK" w:hAnsi="方正仿宋_GBK" w:eastAsia="方正仿宋_GBK" w:cs="方正仿宋_GBK"/>
                <w:sz w:val="32"/>
                <w:szCs w:val="32"/>
                <w:vertAlign w:val="baseline"/>
                <w:lang w:val="en-US" w:eastAsia="zh-CN"/>
              </w:rPr>
            </w:pPr>
          </w:p>
        </w:tc>
      </w:tr>
    </w:tbl>
    <w:p>
      <w:pPr>
        <w:keepNext w:val="0"/>
        <w:keepLines w:val="0"/>
        <w:pageBreakBefore w:val="0"/>
        <w:widowControl w:val="0"/>
        <w:kinsoku/>
        <w:wordWrap/>
        <w:overflowPunct/>
        <w:topLinePunct w:val="0"/>
        <w:autoSpaceDE/>
        <w:autoSpaceDN/>
        <w:bidi w:val="0"/>
        <w:adjustRightInd/>
        <w:snapToGrid/>
        <w:spacing w:line="540" w:lineRule="exact"/>
        <w:jc w:val="both"/>
        <w:textAlignment w:val="auto"/>
        <w:outlineLvl w:val="9"/>
        <w:rPr>
          <w:rFonts w:hint="eastAsia" w:ascii="方正黑体_GBK" w:hAnsi="方正黑体_GBK" w:eastAsia="方正黑体_GBK" w:cs="方正黑体_GBK"/>
          <w:b w:val="0"/>
          <w:bCs w:val="0"/>
          <w:color w:val="000000"/>
          <w:sz w:val="32"/>
          <w:szCs w:val="32"/>
          <w:lang w:eastAsia="zh-CN"/>
        </w:rPr>
        <w:sectPr>
          <w:footerReference r:id="rId3" w:type="default"/>
          <w:pgSz w:w="11850" w:h="16783"/>
          <w:pgMar w:top="1440" w:right="1800" w:bottom="1440" w:left="1800" w:header="851" w:footer="992" w:gutter="0"/>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720" w:lineRule="exact"/>
        <w:jc w:val="center"/>
        <w:textAlignment w:val="auto"/>
        <w:outlineLvl w:val="9"/>
        <w:rPr>
          <w:rFonts w:hint="eastAsia" w:ascii="方正小标宋_GBK" w:hAnsi="方正小标宋_GBK" w:eastAsia="方正小标宋_GBK" w:cs="方正小标宋_GBK"/>
          <w:sz w:val="36"/>
          <w:szCs w:val="36"/>
          <w:lang w:eastAsia="zh-CN"/>
        </w:rPr>
      </w:pPr>
      <w:r>
        <w:rPr>
          <w:rFonts w:hint="eastAsia" w:ascii="方正小标宋_GBK" w:hAnsi="方正小标宋_GBK" w:eastAsia="方正小标宋_GBK" w:cs="方正小标宋_GBK"/>
          <w:sz w:val="36"/>
          <w:szCs w:val="36"/>
          <w:lang w:eastAsia="zh-CN"/>
        </w:rPr>
        <w:t>第十三届广东大学生校园文体艺术节之广东大学生安全生产海报设计大赛汇总表</w:t>
      </w:r>
    </w:p>
    <w:p>
      <w:pPr>
        <w:keepNext w:val="0"/>
        <w:keepLines w:val="0"/>
        <w:pageBreakBefore w:val="0"/>
        <w:widowControl w:val="0"/>
        <w:kinsoku/>
        <w:wordWrap/>
        <w:overflowPunct/>
        <w:topLinePunct w:val="0"/>
        <w:autoSpaceDE/>
        <w:autoSpaceDN/>
        <w:bidi w:val="0"/>
        <w:adjustRightInd/>
        <w:snapToGrid/>
        <w:spacing w:line="720" w:lineRule="exact"/>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学校名称（盖章）：</w:t>
      </w:r>
    </w:p>
    <w:tbl>
      <w:tblPr>
        <w:tblStyle w:val="12"/>
        <w:tblW w:w="12760" w:type="dxa"/>
        <w:tblInd w:w="7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4"/>
        <w:gridCol w:w="2218"/>
        <w:gridCol w:w="3151"/>
        <w:gridCol w:w="3479"/>
        <w:gridCol w:w="30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 w:type="dxa"/>
          </w:tcPr>
          <w:p>
            <w:pPr>
              <w:jc w:val="center"/>
              <w:rPr>
                <w:rFonts w:hint="eastAsia" w:eastAsia="宋体"/>
                <w:vertAlign w:val="baseline"/>
                <w:lang w:eastAsia="zh-CN"/>
              </w:rPr>
            </w:pPr>
            <w:r>
              <w:rPr>
                <w:rFonts w:hint="eastAsia"/>
                <w:vertAlign w:val="baseline"/>
                <w:lang w:eastAsia="zh-CN"/>
              </w:rPr>
              <w:t>序号</w:t>
            </w:r>
          </w:p>
        </w:tc>
        <w:tc>
          <w:tcPr>
            <w:tcW w:w="2218" w:type="dxa"/>
          </w:tcPr>
          <w:p>
            <w:pPr>
              <w:jc w:val="center"/>
              <w:rPr>
                <w:rFonts w:hint="eastAsia" w:eastAsia="宋体"/>
                <w:vertAlign w:val="baseline"/>
                <w:lang w:eastAsia="zh-CN"/>
              </w:rPr>
            </w:pPr>
            <w:r>
              <w:rPr>
                <w:rFonts w:hint="eastAsia"/>
                <w:vertAlign w:val="baseline"/>
                <w:lang w:eastAsia="zh-CN"/>
              </w:rPr>
              <w:t>作品名称</w:t>
            </w:r>
          </w:p>
        </w:tc>
        <w:tc>
          <w:tcPr>
            <w:tcW w:w="3151" w:type="dxa"/>
          </w:tcPr>
          <w:p>
            <w:pPr>
              <w:jc w:val="center"/>
              <w:rPr>
                <w:rFonts w:hint="eastAsia" w:eastAsia="宋体"/>
                <w:vertAlign w:val="baseline"/>
                <w:lang w:eastAsia="zh-CN"/>
              </w:rPr>
            </w:pPr>
            <w:r>
              <w:rPr>
                <w:rFonts w:hint="eastAsia"/>
                <w:vertAlign w:val="baseline"/>
                <w:lang w:eastAsia="zh-CN"/>
              </w:rPr>
              <w:t>作者（团队）姓名</w:t>
            </w:r>
          </w:p>
        </w:tc>
        <w:tc>
          <w:tcPr>
            <w:tcW w:w="3479" w:type="dxa"/>
          </w:tcPr>
          <w:p>
            <w:pPr>
              <w:jc w:val="center"/>
              <w:rPr>
                <w:rFonts w:hint="eastAsia" w:eastAsia="宋体"/>
                <w:vertAlign w:val="baseline"/>
                <w:lang w:val="en-US" w:eastAsia="zh-CN"/>
              </w:rPr>
            </w:pPr>
            <w:r>
              <w:rPr>
                <w:rFonts w:hint="eastAsia"/>
                <w:vertAlign w:val="baseline"/>
                <w:lang w:eastAsia="zh-CN"/>
              </w:rPr>
              <w:t>联系方式</w:t>
            </w:r>
          </w:p>
        </w:tc>
        <w:tc>
          <w:tcPr>
            <w:tcW w:w="3038" w:type="dxa"/>
          </w:tcPr>
          <w:p>
            <w:pPr>
              <w:jc w:val="center"/>
              <w:rPr>
                <w:rFonts w:hint="eastAsia" w:eastAsia="宋体"/>
                <w:vertAlign w:val="baseline"/>
                <w:lang w:eastAsia="zh-CN"/>
              </w:rPr>
            </w:pPr>
            <w:r>
              <w:rPr>
                <w:rFonts w:hint="eastAsia"/>
                <w:vertAlign w:val="baseline"/>
                <w:lang w:eastAsia="zh-CN"/>
              </w:rPr>
              <w:t>指导老师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74" w:type="dxa"/>
          </w:tcPr>
          <w:p>
            <w:pPr>
              <w:rPr>
                <w:vertAlign w:val="baseline"/>
              </w:rPr>
            </w:pPr>
          </w:p>
        </w:tc>
        <w:tc>
          <w:tcPr>
            <w:tcW w:w="2218" w:type="dxa"/>
          </w:tcPr>
          <w:p>
            <w:pPr>
              <w:rPr>
                <w:vertAlign w:val="baseline"/>
              </w:rPr>
            </w:pPr>
          </w:p>
        </w:tc>
        <w:tc>
          <w:tcPr>
            <w:tcW w:w="3151" w:type="dxa"/>
          </w:tcPr>
          <w:p>
            <w:pPr>
              <w:rPr>
                <w:vertAlign w:val="baseline"/>
              </w:rPr>
            </w:pPr>
          </w:p>
        </w:tc>
        <w:tc>
          <w:tcPr>
            <w:tcW w:w="3479" w:type="dxa"/>
          </w:tcPr>
          <w:p>
            <w:pPr>
              <w:rPr>
                <w:vertAlign w:val="baseline"/>
              </w:rPr>
            </w:pPr>
          </w:p>
        </w:tc>
        <w:tc>
          <w:tcPr>
            <w:tcW w:w="303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874" w:type="dxa"/>
          </w:tcPr>
          <w:p>
            <w:pPr>
              <w:rPr>
                <w:vertAlign w:val="baseline"/>
              </w:rPr>
            </w:pPr>
          </w:p>
        </w:tc>
        <w:tc>
          <w:tcPr>
            <w:tcW w:w="2218" w:type="dxa"/>
          </w:tcPr>
          <w:p>
            <w:pPr>
              <w:rPr>
                <w:vertAlign w:val="baseline"/>
              </w:rPr>
            </w:pPr>
          </w:p>
        </w:tc>
        <w:tc>
          <w:tcPr>
            <w:tcW w:w="3151" w:type="dxa"/>
          </w:tcPr>
          <w:p>
            <w:pPr>
              <w:rPr>
                <w:vertAlign w:val="baseline"/>
              </w:rPr>
            </w:pPr>
          </w:p>
        </w:tc>
        <w:tc>
          <w:tcPr>
            <w:tcW w:w="3479" w:type="dxa"/>
          </w:tcPr>
          <w:p>
            <w:pPr>
              <w:rPr>
                <w:vertAlign w:val="baseline"/>
              </w:rPr>
            </w:pPr>
          </w:p>
        </w:tc>
        <w:tc>
          <w:tcPr>
            <w:tcW w:w="303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874" w:type="dxa"/>
          </w:tcPr>
          <w:p>
            <w:pPr>
              <w:rPr>
                <w:vertAlign w:val="baseline"/>
              </w:rPr>
            </w:pPr>
          </w:p>
        </w:tc>
        <w:tc>
          <w:tcPr>
            <w:tcW w:w="2218" w:type="dxa"/>
          </w:tcPr>
          <w:p>
            <w:pPr>
              <w:rPr>
                <w:vertAlign w:val="baseline"/>
              </w:rPr>
            </w:pPr>
          </w:p>
        </w:tc>
        <w:tc>
          <w:tcPr>
            <w:tcW w:w="3151" w:type="dxa"/>
          </w:tcPr>
          <w:p>
            <w:pPr>
              <w:rPr>
                <w:vertAlign w:val="baseline"/>
              </w:rPr>
            </w:pPr>
          </w:p>
        </w:tc>
        <w:tc>
          <w:tcPr>
            <w:tcW w:w="3479" w:type="dxa"/>
          </w:tcPr>
          <w:p>
            <w:pPr>
              <w:rPr>
                <w:vertAlign w:val="baseline"/>
              </w:rPr>
            </w:pPr>
          </w:p>
        </w:tc>
        <w:tc>
          <w:tcPr>
            <w:tcW w:w="303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7" w:hRule="atLeast"/>
        </w:trPr>
        <w:tc>
          <w:tcPr>
            <w:tcW w:w="874" w:type="dxa"/>
          </w:tcPr>
          <w:p>
            <w:pPr>
              <w:rPr>
                <w:vertAlign w:val="baseline"/>
              </w:rPr>
            </w:pPr>
          </w:p>
        </w:tc>
        <w:tc>
          <w:tcPr>
            <w:tcW w:w="2218" w:type="dxa"/>
          </w:tcPr>
          <w:p>
            <w:pPr>
              <w:rPr>
                <w:vertAlign w:val="baseline"/>
              </w:rPr>
            </w:pPr>
          </w:p>
        </w:tc>
        <w:tc>
          <w:tcPr>
            <w:tcW w:w="3151" w:type="dxa"/>
          </w:tcPr>
          <w:p>
            <w:pPr>
              <w:rPr>
                <w:vertAlign w:val="baseline"/>
              </w:rPr>
            </w:pPr>
          </w:p>
        </w:tc>
        <w:tc>
          <w:tcPr>
            <w:tcW w:w="3479" w:type="dxa"/>
          </w:tcPr>
          <w:p>
            <w:pPr>
              <w:rPr>
                <w:vertAlign w:val="baseline"/>
              </w:rPr>
            </w:pPr>
          </w:p>
        </w:tc>
        <w:tc>
          <w:tcPr>
            <w:tcW w:w="3038" w:type="dxa"/>
          </w:tcPr>
          <w:p>
            <w:pPr>
              <w:rPr>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 w:hRule="atLeast"/>
        </w:trPr>
        <w:tc>
          <w:tcPr>
            <w:tcW w:w="874" w:type="dxa"/>
          </w:tcPr>
          <w:p>
            <w:pPr>
              <w:rPr>
                <w:vertAlign w:val="baseline"/>
              </w:rPr>
            </w:pPr>
          </w:p>
        </w:tc>
        <w:tc>
          <w:tcPr>
            <w:tcW w:w="2218" w:type="dxa"/>
          </w:tcPr>
          <w:p>
            <w:pPr>
              <w:rPr>
                <w:vertAlign w:val="baseline"/>
              </w:rPr>
            </w:pPr>
          </w:p>
        </w:tc>
        <w:tc>
          <w:tcPr>
            <w:tcW w:w="3151" w:type="dxa"/>
          </w:tcPr>
          <w:p>
            <w:pPr>
              <w:rPr>
                <w:vertAlign w:val="baseline"/>
              </w:rPr>
            </w:pPr>
          </w:p>
        </w:tc>
        <w:tc>
          <w:tcPr>
            <w:tcW w:w="3479" w:type="dxa"/>
          </w:tcPr>
          <w:p>
            <w:pPr>
              <w:rPr>
                <w:vertAlign w:val="baseline"/>
              </w:rPr>
            </w:pPr>
          </w:p>
        </w:tc>
        <w:tc>
          <w:tcPr>
            <w:tcW w:w="3038" w:type="dxa"/>
          </w:tcPr>
          <w:p>
            <w:pPr>
              <w:rPr>
                <w:vertAlign w:val="baseline"/>
              </w:rPr>
            </w:pPr>
          </w:p>
        </w:tc>
      </w:tr>
    </w:tbl>
    <w:p/>
    <w:p>
      <w:pPr>
        <w:keepNext w:val="0"/>
        <w:keepLines w:val="0"/>
        <w:pageBreakBefore w:val="0"/>
        <w:widowControl w:val="0"/>
        <w:kinsoku/>
        <w:wordWrap/>
        <w:overflowPunct/>
        <w:topLinePunct w:val="0"/>
        <w:autoSpaceDE/>
        <w:autoSpaceDN/>
        <w:bidi w:val="0"/>
        <w:adjustRightInd/>
        <w:snapToGrid/>
        <w:spacing w:line="400" w:lineRule="exact"/>
        <w:textAlignment w:val="auto"/>
        <w:outlineLvl w:val="9"/>
        <w:rPr>
          <w:rFonts w:hint="eastAsia" w:ascii="方正仿宋_GBK" w:hAnsi="方正仿宋_GBK" w:eastAsia="方正仿宋_GBK" w:cs="方正仿宋_GBK"/>
          <w:b w:val="0"/>
          <w:bCs w:val="0"/>
          <w:sz w:val="24"/>
          <w:szCs w:val="24"/>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方正小标宋_GBK">
    <w:altName w:val="Arial Unicode MS"/>
    <w:panose1 w:val="03000509000000000000"/>
    <w:charset w:val="86"/>
    <w:family w:val="auto"/>
    <w:pitch w:val="default"/>
    <w:sig w:usb0="00000000" w:usb1="0000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27C"/>
    <w:rsid w:val="00126FBE"/>
    <w:rsid w:val="00173987"/>
    <w:rsid w:val="00246111"/>
    <w:rsid w:val="002654FA"/>
    <w:rsid w:val="002A51D3"/>
    <w:rsid w:val="002C7B6B"/>
    <w:rsid w:val="002D1B3C"/>
    <w:rsid w:val="003D591D"/>
    <w:rsid w:val="003E6B06"/>
    <w:rsid w:val="0042341C"/>
    <w:rsid w:val="00476C1E"/>
    <w:rsid w:val="0054201C"/>
    <w:rsid w:val="005A52AB"/>
    <w:rsid w:val="005C17B3"/>
    <w:rsid w:val="00626547"/>
    <w:rsid w:val="00683BB5"/>
    <w:rsid w:val="006C4977"/>
    <w:rsid w:val="006D2751"/>
    <w:rsid w:val="0070278E"/>
    <w:rsid w:val="00745B6C"/>
    <w:rsid w:val="00755E4A"/>
    <w:rsid w:val="00767331"/>
    <w:rsid w:val="00801360"/>
    <w:rsid w:val="00830C85"/>
    <w:rsid w:val="008D691F"/>
    <w:rsid w:val="0090332F"/>
    <w:rsid w:val="00922CF7"/>
    <w:rsid w:val="00956D47"/>
    <w:rsid w:val="0096727F"/>
    <w:rsid w:val="009913D1"/>
    <w:rsid w:val="00A02546"/>
    <w:rsid w:val="00A37EC1"/>
    <w:rsid w:val="00AE5917"/>
    <w:rsid w:val="00B1642B"/>
    <w:rsid w:val="00B57052"/>
    <w:rsid w:val="00BC4DE9"/>
    <w:rsid w:val="00C53D35"/>
    <w:rsid w:val="00CD59FB"/>
    <w:rsid w:val="00D44F06"/>
    <w:rsid w:val="00DC0B97"/>
    <w:rsid w:val="00E0027C"/>
    <w:rsid w:val="00E86F7D"/>
    <w:rsid w:val="00F01326"/>
    <w:rsid w:val="00F1496A"/>
    <w:rsid w:val="00F3605C"/>
    <w:rsid w:val="00F43C79"/>
    <w:rsid w:val="00F86357"/>
    <w:rsid w:val="00FC5AB6"/>
    <w:rsid w:val="011174B9"/>
    <w:rsid w:val="04DC73FB"/>
    <w:rsid w:val="073F2082"/>
    <w:rsid w:val="08945CC3"/>
    <w:rsid w:val="0F4E3D66"/>
    <w:rsid w:val="1C13494E"/>
    <w:rsid w:val="1F6F4120"/>
    <w:rsid w:val="20565759"/>
    <w:rsid w:val="223C0136"/>
    <w:rsid w:val="23233576"/>
    <w:rsid w:val="25245248"/>
    <w:rsid w:val="27E61947"/>
    <w:rsid w:val="2B6A29BA"/>
    <w:rsid w:val="2BE158F0"/>
    <w:rsid w:val="2D3A1459"/>
    <w:rsid w:val="2D9C493C"/>
    <w:rsid w:val="2E013ECE"/>
    <w:rsid w:val="34A02F3A"/>
    <w:rsid w:val="34C5048A"/>
    <w:rsid w:val="35EF5BC2"/>
    <w:rsid w:val="36936DA5"/>
    <w:rsid w:val="37B82BF2"/>
    <w:rsid w:val="3C9A6DB0"/>
    <w:rsid w:val="3D474B68"/>
    <w:rsid w:val="3D607481"/>
    <w:rsid w:val="3DC23BE7"/>
    <w:rsid w:val="3F5C6C6A"/>
    <w:rsid w:val="41CB3A2E"/>
    <w:rsid w:val="475A4489"/>
    <w:rsid w:val="4B600B93"/>
    <w:rsid w:val="4BF13C94"/>
    <w:rsid w:val="4D4E186F"/>
    <w:rsid w:val="4D6965A7"/>
    <w:rsid w:val="4DF00CBD"/>
    <w:rsid w:val="4DF21EDE"/>
    <w:rsid w:val="4E0E3B19"/>
    <w:rsid w:val="4F8E7AC2"/>
    <w:rsid w:val="506E5F6A"/>
    <w:rsid w:val="50DC7B62"/>
    <w:rsid w:val="514B6810"/>
    <w:rsid w:val="515260A1"/>
    <w:rsid w:val="5208085D"/>
    <w:rsid w:val="52C63E04"/>
    <w:rsid w:val="53857BAB"/>
    <w:rsid w:val="54207AA2"/>
    <w:rsid w:val="55191B20"/>
    <w:rsid w:val="55A97427"/>
    <w:rsid w:val="55EF1B6A"/>
    <w:rsid w:val="599F3F79"/>
    <w:rsid w:val="5C1A76D6"/>
    <w:rsid w:val="5D855FC6"/>
    <w:rsid w:val="5EA01EBB"/>
    <w:rsid w:val="5F510B08"/>
    <w:rsid w:val="60150EAD"/>
    <w:rsid w:val="60AC51A7"/>
    <w:rsid w:val="61D97BC2"/>
    <w:rsid w:val="632012F7"/>
    <w:rsid w:val="66D01933"/>
    <w:rsid w:val="67D40D2D"/>
    <w:rsid w:val="69D56318"/>
    <w:rsid w:val="6F2C60F7"/>
    <w:rsid w:val="74BA08C3"/>
    <w:rsid w:val="74CB1EDD"/>
    <w:rsid w:val="750B2EFE"/>
    <w:rsid w:val="7BF6513B"/>
    <w:rsid w:val="7EB53A2A"/>
    <w:rsid w:val="7FBF1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alloon Text"/>
    <w:basedOn w:val="1"/>
    <w:link w:val="17"/>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0000FF"/>
      <w:u w:val="single"/>
    </w:rPr>
  </w:style>
  <w:style w:type="character" w:styleId="10">
    <w:name w:val="annotation reference"/>
    <w:basedOn w:val="8"/>
    <w:unhideWhenUsed/>
    <w:qFormat/>
    <w:uiPriority w:val="99"/>
    <w:rPr>
      <w:sz w:val="21"/>
      <w:szCs w:val="21"/>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标题 1 Char"/>
    <w:basedOn w:val="8"/>
    <w:link w:val="2"/>
    <w:qFormat/>
    <w:uiPriority w:val="9"/>
    <w:rPr>
      <w:b/>
      <w:bCs/>
      <w:kern w:val="44"/>
      <w:sz w:val="44"/>
      <w:szCs w:val="44"/>
    </w:rPr>
  </w:style>
  <w:style w:type="character" w:customStyle="1" w:styleId="14">
    <w:name w:val="标题 2 Char"/>
    <w:basedOn w:val="8"/>
    <w:link w:val="3"/>
    <w:qFormat/>
    <w:uiPriority w:val="9"/>
    <w:rPr>
      <w:rFonts w:asciiTheme="majorHAnsi" w:hAnsiTheme="majorHAnsi" w:eastAsiaTheme="majorEastAsia" w:cstheme="majorBidi"/>
      <w:b/>
      <w:bCs/>
      <w:sz w:val="32"/>
      <w:szCs w:val="32"/>
    </w:rPr>
  </w:style>
  <w:style w:type="character" w:customStyle="1" w:styleId="15">
    <w:name w:val="页眉 Char"/>
    <w:basedOn w:val="8"/>
    <w:link w:val="7"/>
    <w:qFormat/>
    <w:uiPriority w:val="99"/>
    <w:rPr>
      <w:sz w:val="18"/>
      <w:szCs w:val="18"/>
    </w:rPr>
  </w:style>
  <w:style w:type="character" w:customStyle="1" w:styleId="16">
    <w:name w:val="页脚 Char"/>
    <w:basedOn w:val="8"/>
    <w:link w:val="6"/>
    <w:qFormat/>
    <w:uiPriority w:val="99"/>
    <w:rPr>
      <w:sz w:val="18"/>
      <w:szCs w:val="18"/>
    </w:rPr>
  </w:style>
  <w:style w:type="character" w:customStyle="1" w:styleId="17">
    <w:name w:val="批注框文本 Char"/>
    <w:basedOn w:val="8"/>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211</Words>
  <Characters>1207</Characters>
  <Lines>10</Lines>
  <Paragraphs>2</Paragraphs>
  <TotalTime>7</TotalTime>
  <ScaleCrop>false</ScaleCrop>
  <LinksUpToDate>false</LinksUpToDate>
  <CharactersWithSpaces>1416</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2017-10-01T14:33:00Z</dcterms:created>
  <dc:creator>153383674@qq.com</dc:creator>
  <cp:lastModifiedBy> ice lee</cp:lastModifiedBy>
  <cp:lastPrinted>2018-10-29T08:56:00Z</cp:lastPrinted>
  <dcterms:modified xsi:type="dcterms:W3CDTF">2018-11-08T09:10:39Z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