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4"/>
        </w:tabs>
        <w:ind w:left="-199" w:leftChars="-95"/>
        <w:rPr>
          <w:rFonts w:hint="eastAsia"/>
          <w:b/>
          <w:color w:val="FF0000"/>
          <w:kern w:val="21"/>
          <w:sz w:val="96"/>
          <w:szCs w:val="96"/>
        </w:rPr>
      </w:pPr>
      <w:r>
        <w:pict>
          <v:shape id="AutoShape 2" o:spid="_x0000_s2050" o:spt="136" type="#_x0000_t136" style="position:absolute;left:0pt;margin-left:-15.55pt;margin-top:55.6pt;height:37pt;width:439pt;z-index:251660288;mso-width-relative:page;mso-height-relative:page;" fillcolor="#FF0000" filled="t" stroked="t" coordsize="21600,21600" adj="10801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广  东  省  青  年  联  合  会" style="font-family:方正小标宋_GBK;font-size:31pt;v-text-align:center;v-text-spacing:58982f;"/>
          </v:shape>
        </w:pict>
      </w:r>
      <w:r>
        <w:pict>
          <v:shape id="AutoShape 2" o:spid="_x0000_s2051" o:spt="136" type="#_x0000_t136" style="position:absolute;left:0pt;margin-left:-12.45pt;margin-top:3.85pt;height:37pt;width:434.4pt;z-index:251661312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grouping="f" rotation="f" text="f" aspectratio="f"/>
            <v:textpath on="t" fitshape="t" fitpath="t" trim="t" xscale="f" string="共 青 团 广 东 省 委 员 会" style="font-family:方正小标宋_GBK;font-size:31pt;v-text-align:center;"/>
          </v:shape>
        </w:pict>
      </w:r>
      <w:r>
        <w:rPr>
          <w:rFonts w:hint="eastAsia"/>
          <w:b/>
          <w:color w:val="FF0000"/>
          <w:kern w:val="21"/>
          <w:sz w:val="96"/>
          <w:szCs w:val="96"/>
        </w:rPr>
        <w:tab/>
      </w:r>
    </w:p>
    <w:p>
      <w:pPr>
        <w:jc w:val="center"/>
        <w:rPr>
          <w:rFonts w:hint="eastAsia"/>
          <w:b/>
          <w:color w:val="FF0000"/>
          <w:sz w:val="84"/>
          <w:szCs w:val="84"/>
        </w:rPr>
      </w:pPr>
      <w:r>
        <w:pict>
          <v:shape id="AutoShape 2" o:spid="_x0000_s2052" o:spt="136" type="#_x0000_t136" style="position:absolute;left:0pt;margin-left:-14.7pt;margin-top:47.95pt;height:37pt;width:434.4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少先队广东省工作委员会" style="font-family:方正小标宋_GBK;font-size:31pt;v-text-align:center;v-text-spacing:78643f;"/>
          </v:shape>
        </w:pict>
      </w:r>
    </w:p>
    <w:p>
      <w:pPr>
        <w:rPr>
          <w:rFonts w:hint="eastAsia"/>
          <w:color w:val="FF0000"/>
          <w:sz w:val="28"/>
          <w:szCs w:val="28"/>
          <w:u w:val="thick"/>
        </w:rPr>
      </w:pPr>
    </w:p>
    <w:p>
      <w:pPr>
        <w:rPr>
          <w:rFonts w:hint="eastAsia"/>
          <w:color w:val="FF0000"/>
          <w:sz w:val="28"/>
          <w:szCs w:val="28"/>
          <w:u w:val="thick"/>
        </w:rPr>
      </w:pPr>
      <w:r>
        <w:pict>
          <v:shape id="AutoShape 2" o:spid="_x0000_s2053" o:spt="136" type="#_x0000_t136" style="position:absolute;left:0pt;margin-left:-16.2pt;margin-top:5.35pt;height:37pt;width:434.4pt;z-index:251662336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广东省青少年发展基金会" style="font-family:方正小标宋_GBK;font-size:31pt;v-text-align:center;v-text-spacing:78643f;"/>
          </v:shape>
        </w:pict>
      </w:r>
    </w:p>
    <w:p>
      <w:pPr>
        <w:jc w:val="center"/>
        <w:rPr>
          <w:rFonts w:hint="eastAsia" w:ascii="方正仿宋_GBK" w:hAnsi="仿宋_GB2312" w:eastAsia="方正仿宋_GBK" w:cs="仿宋_GB2312"/>
          <w:sz w:val="32"/>
          <w:szCs w:val="32"/>
        </w:rPr>
      </w:pPr>
    </w:p>
    <w:p>
      <w:pPr>
        <w:jc w:val="center"/>
        <w:rPr>
          <w:rFonts w:hint="eastAsia" w:ascii="方正仿宋_GBK" w:eastAsia="方正仿宋_GBK"/>
          <w:color w:val="FF0000"/>
          <w:sz w:val="28"/>
          <w:szCs w:val="28"/>
          <w:u w:val="thick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团粤联发</w:t>
      </w:r>
      <w:r>
        <w:rPr>
          <w:rFonts w:hint="eastAsia" w:ascii="方正仿宋_GBK" w:hAnsi="仿宋_GB2312" w:eastAsia="方正仿宋_GBK"/>
          <w:sz w:val="32"/>
        </w:rPr>
        <w:t>〔20</w:t>
      </w:r>
      <w:r>
        <w:rPr>
          <w:rFonts w:hint="eastAsia" w:ascii="方正仿宋_GBK" w:hAnsi="仿宋_GB2312" w:eastAsia="方正仿宋_GBK"/>
          <w:sz w:val="32"/>
          <w:lang w:val="en-US" w:eastAsia="zh-CN"/>
        </w:rPr>
        <w:t>16</w:t>
      </w:r>
      <w:r>
        <w:rPr>
          <w:rFonts w:hint="eastAsia" w:ascii="方正仿宋_GBK" w:hAnsi="仿宋_GB2312" w:eastAsia="方正仿宋_GBK"/>
          <w:sz w:val="32"/>
        </w:rPr>
        <w:t>〕</w:t>
      </w:r>
      <w:r>
        <w:rPr>
          <w:rFonts w:hint="eastAsia" w:ascii="方正仿宋_GBK" w:hAnsi="仿宋_GB2312" w:eastAsia="方正仿宋_GBK"/>
          <w:sz w:val="32"/>
          <w:lang w:val="en-US" w:eastAsia="zh-CN"/>
        </w:rPr>
        <w:t>73</w:t>
      </w:r>
      <w:r>
        <w:rPr>
          <w:rFonts w:hint="eastAsia" w:ascii="方正仿宋_GBK" w:hAnsi="仿宋_GB2312" w:eastAsia="方正仿宋_GBK"/>
          <w:sz w:val="32"/>
        </w:rPr>
        <w:t>号</w:t>
      </w:r>
      <w:r>
        <w:rPr>
          <w:rFonts w:hint="eastAsia" w:ascii="方正仿宋_GBK" w:eastAsia="方正仿宋_GBK"/>
          <w:color w:val="FF0000"/>
          <w:position w:val="-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328930</wp:posOffset>
                </wp:positionV>
                <wp:extent cx="5534025" cy="19050"/>
                <wp:effectExtent l="0" t="7620" r="9525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flip:y;margin-left:-15.3pt;margin-top:25.9pt;height:1.5pt;width:435.75pt;z-index:251658240;mso-width-relative:page;mso-height-relative:page;" o:connectortype="straight" filled="f" stroked="t" coordsize="21600,21600" o:gfxdata="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Zx/QT2AAAAAkBAAAPAAAAAAAAAAEAIAAAACIA&#10;AABkcnMvZG93bnJldi54bWxQSwECFAAUAAAACACHTuJAz6xBXdABAAChAwAADgAAAAAAAAABACAA&#10;AAAnAQAAZHJzL2Uyb0RvYy54bWxQSwUGAAAAAAYABgBZAQAAaQUAAAAA&#10;">
                <v:path arrowok="t"/>
                <v:fill on="f" focussize="0,0"/>
                <v:stroke weight="1.25pt" color="#FF0000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关于举办第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届希望工程南粤会亲活动的通知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各地级以上市团委、青联、少工委：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助力精准扶贫，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帮助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更多困难家庭孩子</w:t>
      </w:r>
      <w:bookmarkStart w:id="2" w:name="_GoBack"/>
      <w:bookmarkEnd w:id="2"/>
      <w:r>
        <w:rPr>
          <w:rFonts w:hint="eastAsia" w:ascii="方正仿宋_GBK" w:hAnsi="方正仿宋_GBK" w:eastAsia="方正仿宋_GBK" w:cs="方正仿宋_GBK"/>
          <w:sz w:val="32"/>
          <w:szCs w:val="32"/>
        </w:rPr>
        <w:t>健康成长，共青团广东省委员会、广东省青年联合会、少先队广东省工作委员会、广东省青少年发展基金会定于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12月29日至31日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举办第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届希望工程南粤会亲活动。现就有关活动安排通知如下：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活动名称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全省活动统一冠名：第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届希望工程南粤会亲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各地市活动冠名：第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届希望工程南粤会亲活动——XX（市简称或全称）会亲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（各地会亲可冠以赞助方名称）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全省统一活动时间：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29日至31日期间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全省21个地级以上市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团委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及有条件的县（市）团委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辖区内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的农村孤儿、单亲、城镇双下岗职工或病残家庭等特困家庭的孩子（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精准脱贫贫困村、贫困户的孩子优先，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珠江三角洲地区城市可同时兼顾对口帮扶地区）接受社会各界热心人士的认捐资助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让他们走进全省各地的中心城市资助他们生活和学习的“亲人”共度2至3天的亲情之旅，搭建起“不是亲人胜似亲人”的爱心之桥。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本次会亲活动采用阶段性资助和一次性资助两种方式资助学生。其中，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会亲主会场——羊城会亲针对省内学生采用阶段性资助方式，按每人每学年440元的资助标准资助学生至小学毕业，并按照这个资助标准，计算出每个学生所需的助学金，一次性接受社会捐赠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各地市采用一次性资助方式，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元的资助标准进行捐赠和资助。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地市资助的学生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原则上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不少于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四、活动要求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“南粤会亲”活动是一项全省联动的公益活动，具有良好的社会影响力和公信力，全省各级团组织、希望工程实施机构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要努力为活动寻找赞助方，并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切实加强沟通，精诚合作，共同做好组织实施工作。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1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高度重视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要深刻认识“南粤会亲”活动的重要意义，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将“南粤会亲”活动作为共青团参与精准脱贫工作的重要载体，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及时向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党政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领导汇报，邀请党政领导出席活动，接见参加活动的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会亲学生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和爱心家庭，积极推动各地将“南粤会亲”活动纳入当地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精准脱贫工作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的整体布局，形成长效工作机制，推动希望工程事业的健康有序发展。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2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周密组织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要精心制定详细的工作方案和推进计划，认真组织实施。严格按照标准条件物色、甄选参加活动的困难儿童，联合当地主要媒体发布会亲活动信息，介绍困难学童情况，广泛发动热心人士、爱心家庭认捐资助，并组织开展丰富多彩的会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3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规范管理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要严格按照中央、省委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的有关规定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，切实加强对资助款和活动经费的管理。各地统一募集的结对资助捐款，必须在活动中直接全额发放给受助学生，并严格履行学生本人在签收表上签名确认领取助学金的手续。如需广东青基会给捐方开具捐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收据的，可将捐赠人资料上报广东青基会。凡由广东青基会给捐方开具捐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收据的，须将《第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届希望工程南粤会亲活动学生助学金签收表》（见附件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）原件上交广东青基会财务，广东青基会财务凭签收表报账。会亲结束后，请各市收齐《第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届希望工程南粤会亲活动学生名册》（见附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）寄回广东青基会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项目管理部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4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确保安全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必须牢固树立安全第一的思想，确保活动顺利安全开展。要明确带队老师职责，指定专人负责会亲儿童的活动和食宿安全，深入排查各个活动环节的安全隐患，严堵安全漏洞。要制定简明易操作的活动安全手册，分发给各个爱心家庭和参加会亲活动的儿童遵照执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同时，要制定完善安全工作应急预案，以应对可能出现的紧急情况，从各个方面做好活动的安全保障工作。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5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广泛宣传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要充分利用好本次活动的契机，联合当地主要新闻媒体作为活动承办单位，共同做好深入报道和广泛宣传。要注重把握宣传的切入点，挖掘活动中的感人事迹和生动典型，积极宣扬党和政府对困难儿童的关心关怀、各爱心家庭的慈善义举和受助儿童感恩奋发的生动事例，在全社会积极营造共建共享和谐社会的良好氛围。会亲活动结束后，各市团委要认真收集整理活动的宣传材料并上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广东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青基会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合作发展部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汇总。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6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eastAsia="zh-CN"/>
        </w:rPr>
        <w:t>具体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本次各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会亲活动经费由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各地团委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行筹集解决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各地团委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要主动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争取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爱心企业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支持或联合有关单位共同主办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，争取经费、场地等方面的支持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。对给予支持的爱心企业、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，可考虑活动冠名作为回报。同时，各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团委负责活动的策划、组织、宣传报道、贫困学生的甄选、动员社会捐款资助贫困学生等工作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。请各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团委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总结往届会亲的经验做法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扎实有效、创造性地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开展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好本届会亲活动。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鼓励有条件的县（市）团委参照省、市做法开展会亲活动。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联系人：田锦霞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广东青基会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项目管理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部），吴阳平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（广东青基会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合作发展部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电话：（020）87185820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邮箱：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HYPERLINK "mailto:gdxwgc@126.com"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gdxwgc@12</w:t>
      </w:r>
      <w:bookmarkStart w:id="0" w:name="_Hlt290047193"/>
      <w:bookmarkStart w:id="1" w:name="_Hlt290047192"/>
      <w:r>
        <w:rPr>
          <w:rFonts w:hint="eastAsia" w:ascii="方正仿宋_GBK" w:hAnsi="方正仿宋_GBK" w:eastAsia="方正仿宋_GBK" w:cs="方正仿宋_GBK"/>
          <w:sz w:val="32"/>
          <w:szCs w:val="32"/>
        </w:rPr>
        <w:t>6</w:t>
      </w:r>
      <w:bookmarkEnd w:id="0"/>
      <w:bookmarkEnd w:id="1"/>
      <w:r>
        <w:rPr>
          <w:rFonts w:hint="eastAsia" w:ascii="方正仿宋_GBK" w:hAnsi="方正仿宋_GBK" w:eastAsia="方正仿宋_GBK" w:cs="方正仿宋_GBK"/>
          <w:sz w:val="32"/>
          <w:szCs w:val="32"/>
        </w:rPr>
        <w:t>.com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活动网址：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HYPERLINK "http://www.gdydf.org.cn"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www.gdydf.org.cn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届希望工程南粤会亲活动助学金签收表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届希望工程南粤会亲活动学生名册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届希望工程南粤会亲活动方案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共青团广东省委员会　　　  广东省青年联合会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少先队广东省工作委员会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广东省青少年发展基金会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footnotePr>
            <w:numFmt w:val="decimal"/>
          </w:footnote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届希望工程南粤会亲活动学生助学金签收表</w:t>
      </w:r>
    </w:p>
    <w:p>
      <w:pPr>
        <w:rPr>
          <w:rFonts w:hint="eastAsia" w:ascii="方正仿宋_GBK" w:hAnsi="方正仿宋_GBK" w:eastAsia="方正仿宋_GBK" w:cs="方正仿宋_GBK"/>
          <w:bCs/>
          <w:sz w:val="30"/>
          <w:szCs w:val="30"/>
        </w:rPr>
      </w:pPr>
      <w:r>
        <w:rPr>
          <w:rFonts w:hint="eastAsia"/>
          <w:bCs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bCs/>
          <w:sz w:val="30"/>
          <w:szCs w:val="30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市（县、区）                        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</w:t>
      </w:r>
    </w:p>
    <w:tbl>
      <w:tblPr>
        <w:tblStyle w:val="6"/>
        <w:tblW w:w="1413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876"/>
        <w:gridCol w:w="2660"/>
        <w:gridCol w:w="1633"/>
        <w:gridCol w:w="2517"/>
        <w:gridCol w:w="1520"/>
        <w:gridCol w:w="1516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学生姓名</w:t>
            </w:r>
          </w:p>
        </w:tc>
        <w:tc>
          <w:tcPr>
            <w:tcW w:w="8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30"/>
                <w:szCs w:val="30"/>
              </w:rPr>
              <w:t>性别</w:t>
            </w:r>
          </w:p>
        </w:tc>
        <w:tc>
          <w:tcPr>
            <w:tcW w:w="266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 xml:space="preserve"> 镇/ 学校/  班别</w:t>
            </w:r>
          </w:p>
        </w:tc>
        <w:tc>
          <w:tcPr>
            <w:tcW w:w="1633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30"/>
                <w:szCs w:val="30"/>
              </w:rPr>
              <w:t>监护人姓名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监护人身份证号</w:t>
            </w:r>
          </w:p>
        </w:tc>
        <w:tc>
          <w:tcPr>
            <w:tcW w:w="152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助学金额</w:t>
            </w:r>
          </w:p>
        </w:tc>
        <w:tc>
          <w:tcPr>
            <w:tcW w:w="151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学生签收</w:t>
            </w:r>
          </w:p>
        </w:tc>
        <w:tc>
          <w:tcPr>
            <w:tcW w:w="1864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监护人签收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6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633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517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520" w:type="dxa"/>
            <w:vAlign w:val="top"/>
          </w:tcPr>
          <w:p>
            <w:pPr>
              <w:spacing w:line="680" w:lineRule="exact"/>
              <w:rPr>
                <w:rFonts w:hint="eastAsia" w:ascii="方正仿宋_GBK" w:hAnsi="方正仿宋_GBK" w:eastAsia="方正仿宋_GBK" w:cs="方正仿宋_GBK"/>
                <w:spacing w:val="-20"/>
                <w:sz w:val="30"/>
                <w:szCs w:val="30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864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6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633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517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520" w:type="dxa"/>
            <w:vAlign w:val="top"/>
          </w:tcPr>
          <w:p>
            <w:pPr>
              <w:spacing w:line="680" w:lineRule="exact"/>
              <w:rPr>
                <w:rFonts w:hint="eastAsia" w:ascii="方正仿宋_GBK" w:hAnsi="方正仿宋_GBK" w:eastAsia="方正仿宋_GBK" w:cs="方正仿宋_GBK"/>
                <w:spacing w:val="-20"/>
                <w:sz w:val="30"/>
                <w:szCs w:val="30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864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6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633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517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520" w:type="dxa"/>
            <w:vAlign w:val="top"/>
          </w:tcPr>
          <w:p>
            <w:pPr>
              <w:spacing w:line="680" w:lineRule="exact"/>
              <w:rPr>
                <w:rFonts w:hint="eastAsia" w:ascii="方正仿宋_GBK" w:hAnsi="方正仿宋_GBK" w:eastAsia="方正仿宋_GBK" w:cs="方正仿宋_GBK"/>
                <w:spacing w:val="-20"/>
                <w:sz w:val="30"/>
                <w:szCs w:val="30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864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6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633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517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520" w:type="dxa"/>
            <w:vAlign w:val="top"/>
          </w:tcPr>
          <w:p>
            <w:pPr>
              <w:spacing w:line="680" w:lineRule="exact"/>
              <w:rPr>
                <w:rFonts w:hint="eastAsia" w:ascii="方正仿宋_GBK" w:hAnsi="方正仿宋_GBK" w:eastAsia="方正仿宋_GBK" w:cs="方正仿宋_GBK"/>
                <w:spacing w:val="-20"/>
                <w:sz w:val="30"/>
                <w:szCs w:val="30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864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6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633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517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520" w:type="dxa"/>
            <w:vAlign w:val="top"/>
          </w:tcPr>
          <w:p>
            <w:pPr>
              <w:spacing w:line="680" w:lineRule="exact"/>
              <w:rPr>
                <w:rFonts w:hint="eastAsia" w:ascii="方正仿宋_GBK" w:hAnsi="方正仿宋_GBK" w:eastAsia="方正仿宋_GBK" w:cs="方正仿宋_GBK"/>
                <w:spacing w:val="-20"/>
                <w:sz w:val="30"/>
                <w:szCs w:val="30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864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6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633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517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520" w:type="dxa"/>
            <w:vAlign w:val="top"/>
          </w:tcPr>
          <w:p>
            <w:pPr>
              <w:spacing w:line="680" w:lineRule="exact"/>
              <w:rPr>
                <w:rFonts w:hint="eastAsia" w:ascii="方正仿宋_GBK" w:hAnsi="方正仿宋_GBK" w:eastAsia="方正仿宋_GBK" w:cs="方正仿宋_GBK"/>
                <w:spacing w:val="-20"/>
                <w:sz w:val="30"/>
                <w:szCs w:val="30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864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6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633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517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520" w:type="dxa"/>
            <w:vAlign w:val="top"/>
          </w:tcPr>
          <w:p>
            <w:pPr>
              <w:spacing w:line="680" w:lineRule="exact"/>
              <w:rPr>
                <w:rFonts w:hint="eastAsia" w:ascii="方正仿宋_GBK" w:hAnsi="方正仿宋_GBK" w:eastAsia="方正仿宋_GBK" w:cs="方正仿宋_GBK"/>
                <w:spacing w:val="-20"/>
                <w:sz w:val="30"/>
                <w:szCs w:val="30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864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</w:tbl>
    <w:p>
      <w:pPr>
        <w:ind w:firstLine="6150" w:firstLineChars="205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       团委经办人：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 (签章)</w:t>
      </w:r>
    </w:p>
    <w:p>
      <w:pPr>
        <w:spacing w:line="340" w:lineRule="exact"/>
        <w:rPr>
          <w:rFonts w:hint="eastAsia" w:ascii="方正仿宋_GBK" w:hAnsi="方正仿宋_GBK" w:eastAsia="方正仿宋_GBK" w:cs="方正仿宋_GBK"/>
          <w:sz w:val="30"/>
          <w:szCs w:val="30"/>
        </w:rPr>
        <w:sectPr>
          <w:footnotePr>
            <w:numFmt w:val="decimal"/>
          </w:footnote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436" w:charSpace="0"/>
        </w:sectPr>
      </w:pPr>
    </w:p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hint="eastAsia" w:ascii="方正黑体_GBK" w:hAnsi="方正黑体_GBK" w:eastAsia="方正黑体_GBK" w:cs="方正黑体_GBK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届希望工程南粤会亲活动学生名册</w:t>
      </w:r>
    </w:p>
    <w:p>
      <w:pPr>
        <w:rPr>
          <w:rFonts w:hint="eastAsia" w:ascii="方正黑体_GBK" w:hAnsi="方正黑体_GBK" w:eastAsia="方正黑体_GBK" w:cs="方正黑体_GBK"/>
          <w:bCs/>
          <w:sz w:val="28"/>
          <w:szCs w:val="28"/>
        </w:rPr>
      </w:pPr>
      <w:r>
        <w:rPr>
          <w:rFonts w:hint="eastAsia"/>
          <w:bCs/>
          <w:sz w:val="24"/>
          <w:u w:val="single"/>
        </w:rPr>
        <w:t xml:space="preserve"> </w:t>
      </w:r>
      <w:r>
        <w:rPr>
          <w:rFonts w:hint="eastAsia" w:ascii="方正黑体_GBK" w:hAnsi="方正黑体_GBK" w:eastAsia="方正黑体_GBK" w:cs="方正黑体_GBK"/>
          <w:bCs/>
          <w:sz w:val="28"/>
          <w:szCs w:val="28"/>
          <w:u w:val="single"/>
        </w:rPr>
        <w:t xml:space="preserve">   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市</w:t>
      </w:r>
      <w:r>
        <w:rPr>
          <w:rFonts w:hint="eastAsia" w:ascii="方正黑体_GBK" w:hAnsi="方正黑体_GBK" w:eastAsia="方正黑体_GBK" w:cs="方正黑体_GBK"/>
          <w:bCs/>
          <w:sz w:val="28"/>
          <w:szCs w:val="28"/>
          <w:u w:val="single"/>
        </w:rPr>
        <w:t xml:space="preserve">    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 xml:space="preserve">县（区）                 </w:t>
      </w:r>
      <w:r>
        <w:rPr>
          <w:rFonts w:hint="eastAsia" w:ascii="方正黑体_GBK" w:hAnsi="方正黑体_GBK" w:eastAsia="方正黑体_GBK" w:cs="方正黑体_GBK"/>
          <w:sz w:val="28"/>
          <w:szCs w:val="28"/>
          <w:u w:val="single"/>
        </w:rPr>
        <w:t xml:space="preserve">   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年</w:t>
      </w:r>
      <w:r>
        <w:rPr>
          <w:rFonts w:hint="eastAsia" w:ascii="方正黑体_GBK" w:hAnsi="方正黑体_GBK" w:eastAsia="方正黑体_GBK" w:cs="方正黑体_GBK"/>
          <w:sz w:val="28"/>
          <w:szCs w:val="28"/>
          <w:u w:val="single"/>
        </w:rPr>
        <w:t xml:space="preserve"> 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月</w:t>
      </w:r>
      <w:r>
        <w:rPr>
          <w:rFonts w:hint="eastAsia" w:ascii="方正黑体_GBK" w:hAnsi="方正黑体_GBK" w:eastAsia="方正黑体_GBK" w:cs="方正黑体_GBK"/>
          <w:sz w:val="28"/>
          <w:szCs w:val="28"/>
          <w:u w:val="single"/>
        </w:rPr>
        <w:t xml:space="preserve"> 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日</w:t>
      </w:r>
    </w:p>
    <w:tbl>
      <w:tblPr>
        <w:tblStyle w:val="6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918"/>
        <w:gridCol w:w="4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2918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学生姓名</w:t>
            </w:r>
          </w:p>
        </w:tc>
        <w:tc>
          <w:tcPr>
            <w:tcW w:w="4642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镇/ 学校/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1</w:t>
            </w:r>
          </w:p>
        </w:tc>
        <w:tc>
          <w:tcPr>
            <w:tcW w:w="2918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4642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2</w:t>
            </w:r>
          </w:p>
        </w:tc>
        <w:tc>
          <w:tcPr>
            <w:tcW w:w="2918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4642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3</w:t>
            </w:r>
          </w:p>
        </w:tc>
        <w:tc>
          <w:tcPr>
            <w:tcW w:w="2918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4642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4</w:t>
            </w:r>
          </w:p>
        </w:tc>
        <w:tc>
          <w:tcPr>
            <w:tcW w:w="2918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4642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5</w:t>
            </w:r>
          </w:p>
        </w:tc>
        <w:tc>
          <w:tcPr>
            <w:tcW w:w="2918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4642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6</w:t>
            </w:r>
          </w:p>
        </w:tc>
        <w:tc>
          <w:tcPr>
            <w:tcW w:w="2918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4642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7</w:t>
            </w:r>
          </w:p>
        </w:tc>
        <w:tc>
          <w:tcPr>
            <w:tcW w:w="2918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4642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8</w:t>
            </w:r>
          </w:p>
        </w:tc>
        <w:tc>
          <w:tcPr>
            <w:tcW w:w="2918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4642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9</w:t>
            </w:r>
          </w:p>
        </w:tc>
        <w:tc>
          <w:tcPr>
            <w:tcW w:w="2918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4642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10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11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12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13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14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15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560" w:lineRule="exact"/>
        <w:rPr>
          <w:rFonts w:hint="eastAsia"/>
        </w:rPr>
        <w:sectPr>
          <w:footnotePr>
            <w:numFmt w:val="decimal"/>
          </w:footnote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spacing w:line="600" w:lineRule="exact"/>
        <w:rPr>
          <w:rFonts w:hint="eastAsia" w:ascii="方正黑体_GBK" w:hAnsi="方正黑体_GBK" w:eastAsia="方正黑体_GBK" w:cs="方正黑体_GBK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第七届“希望工程南粤会亲”活动方案</w:t>
      </w:r>
    </w:p>
    <w:p>
      <w:pPr>
        <w:spacing w:line="60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“南粤会亲”活动是我省乃至全国都具有较高知名度和影响力的公益慈善品牌，是我省帮扶困难青少年、服务青少年成长发展的一项民心工程和幸福工程，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是共青团参与精准脱贫工作的重要重要载体和有形抓手，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每年组织全省各地的孤儿、单亲等特困家庭孩子接受社会各界爱心人士、家庭和机构的认捐资助，让受助儿童到城市与资助人结对会亲，共度2至3天的亲情之旅，搭建起“不是亲人胜似亲人”的爱心之桥。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“南粤会亲”活动源自1994年起举办“羊城会亲”和“鹏城会亲”活动。从2008年开始，“南粤会亲”活动从仅在广州、深圳两个城市举办，发展到全省21个市、121个县（市、区），按照“统一主题、统一名称、统一形式、统一时间、统一内容”的要求同步举办的大型慈善公益活动，使23419名贫困学童得到资助。活动得到了省委、省政府的关心和支持，卢瑞华、黄华华、张帼英、雷于蓝、胡泽君、林少春等省领导分别接见了会亲学生，并对活动给予充分肯定。先后荣获“全国希望工程20年经典项目”、“广东扶贫济困优秀项目”等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一、活动时间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全省统一活动时间：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2016年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12月29-31日期间。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二、活动范围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在广东省21个地级市分别设立会亲现场。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三、主、承单位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（一）主办单位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共青团广东省委员会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广东省青年联合会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少先队广东省工作委员会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广东省青少年发展基金会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（二）承办单位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全省21个地级以上市团委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青联、少工委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全省21个地级以上市的地方主流媒体；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全省21个地级以上市的地方捐助单位。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四、活动名称及主要内容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全省活动名称：第七届希望工程南粤会亲活动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各地级以上市活动名称统一为：XXX（企业冠名）•第七届希望工程南粤会亲活动——XXX（城市名）会亲。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南粤会亲活动的主要内容是：全省21个地级以上市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团委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及有条件的县（市）团委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辖区内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的农村孤儿、单亲、城镇双下岗职工或病残家庭等特困家庭的孩子（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精准脱贫贫困村、贫困户的孩子优先，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珠江三角洲地区城市可同时兼顾对口帮扶地区</w:t>
      </w:r>
      <w:r>
        <w:rPr>
          <w:rFonts w:hint="eastAsia" w:ascii="方正仿宋_GBK" w:hAnsi="方正仿宋_GBK" w:eastAsia="方正仿宋_GBK" w:cs="方正仿宋_GBK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接受社会各界热心人士、爱心家庭的认捐资助，让受助儿童与资助人结对会亲，寓意“不是亲人胜似亲人”。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（一）参加会亲学生的条件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1．在政府免书杂费后学习费用支出仍困难的孤儿、单亲家庭的学生（人均年收入低于当地贫困线）；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2．身体健康、品学兼优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精准脱贫贫困村、贫困户的孩子优先，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珠江三角洲地区城市可同时兼顾对口帮扶地区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（二）会亲活动具体要求及推进步骤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21个地级以上市组织市属各区贫困学生接受社会热心人士捐赠,开展会亲活动。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1．主办单位联合发文，启动会亲活动，各地承办单位制定活动方案。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2．各县、区分别按条件向所在地承办方推荐会亲学生。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3．各地审核、确定会亲学生名单并在本地主流媒体广泛发布会亲学生信息，动员社会热心人士结对认亲。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4．全省21个地级以上市分别举办会亲活动。其中，广州作为全省会亲活动主会场，邀请省领导出席。其他市邀请当地领导出席活动。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（三）会亲活动日程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1．会亲活动开幕式：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（1）领导接见会亲学生，并合影；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（2）介绍及通报会亲活动；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（3）捐赠仪式，表彰、宣传捐赠方的善举；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（4）有关领导致辞；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（5）现场“认亲”。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2．“亲子”励志活动。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3．组织受助学生进行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参观学习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五、学生的资助和管理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本次会亲活动采用阶段性资助和一次性资助两种方式资助学生。其中，会亲主会场——羊城会亲针对省内学生采用阶段性资助方式，按每人每学年440元的资助标准资助学生至小学毕业，并按照这个资助标准，计算出每个学生所需的助学金，一次性接受社会捐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。各地团委采用一次性资助方式资助一。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一次性资助就是按每人1000元的资助标准进行捐赠和资助，各地资助的学生不少于100名。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鼓励有条件的县（市）团委参照省、市做法开展会亲活动。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2．学生资助款由各级团委面向社会爱心单位和个人筹集。资助款由各市团委统一于会亲当日发放，学生当场签收。签名册由各市团委存档。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3．会亲活动结束后一周内，各地市团委以市为单位把参加会亲活动学生名单报至广东青基会。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4．广州市的会亲活动作为主会场兼顾资助全省的会亲学生。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第七届“希望工程南粤会亲”活动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主会场方案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一、活动时间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拟定于2016年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12月29日至31日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举行，时间3天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二、活动地点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广州市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三、活动参加人员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1．省内贫困学生共100名；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2．捐赠方和参加会亲的代表；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3．省领导及主办单位领导；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4．主要新闻媒体；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5．青年志愿者及工作人员。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四、活动的安排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第一天下午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会亲学生报到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第二天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上午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举行开幕式，省领导接见会亲学生，现场认捐会亲、互赠礼物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下午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安排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与捐赠方会亲并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前往广州市区参观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第三天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上午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安排前往广州市区参观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下午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返程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XXX（企业冠名）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第七届“希望工程南粤会亲”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XXX市会亲方案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" w:hAnsi="仿宋" w:eastAsia="仿宋" w:cs="华文中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一、活动时间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拟定于2016年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12月29日30日举行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，时间2天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二、活动地点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由地级市团委商议决定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三、参加人员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1.组织管辖区内贫困的孤儿、单亲家庭的学生100名；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2.捐赠方和会亲代表；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3.有关领导；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4.新闻媒体；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5.志愿者及工作人员。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四、活动的安排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第一天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上午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举行开幕式，市领导接见受助学生，资助人现场认领结对学生、互赠礼物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 xml:space="preserve">下午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捐方带受助学生自由活动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第二天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 xml:space="preserve">上午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组织参观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学习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 xml:space="preserve">下午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学生返程</w:t>
      </w: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jc w:val="left"/>
        <w:rPr>
          <w:rFonts w:hint="eastAsia" w:ascii="方正仿宋_GBK" w:eastAsia="方正仿宋_GBK"/>
        </w:rPr>
      </w:pPr>
    </w:p>
    <w:p>
      <w:pPr>
        <w:ind w:firstLine="271"/>
        <w:jc w:val="left"/>
        <w:rPr>
          <w:rFonts w:hint="eastAsia" w:ascii="方正仿宋_GBK" w:eastAsia="方正仿宋_GBK"/>
        </w:rPr>
      </w:pPr>
    </w:p>
    <w:tbl>
      <w:tblPr>
        <w:tblStyle w:val="6"/>
        <w:tblpPr w:leftFromText="181" w:rightFromText="181" w:vertAnchor="page" w:horzAnchor="page" w:tblpX="1730" w:tblpY="13752"/>
        <w:tblW w:w="8300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5"/>
        <w:gridCol w:w="4755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300" w:type="dxa"/>
            <w:gridSpan w:val="2"/>
            <w:tcBorders>
              <w:top w:val="nil"/>
              <w:left w:val="single" w:color="FFFFFF" w:sz="4" w:space="0"/>
              <w:bottom w:val="single" w:color="auto" w:sz="4" w:space="0"/>
              <w:right w:val="nil"/>
            </w:tcBorders>
            <w:vAlign w:val="top"/>
          </w:tcPr>
          <w:p>
            <w:pPr>
              <w:pStyle w:val="7"/>
              <w:ind w:left="1584" w:leftChars="48" w:hanging="1484" w:hangingChars="464"/>
              <w:rPr>
                <w:rFonts w:hint="eastAsia" w:ascii="方正仿宋_GBK" w:eastAsia="方正仿宋_GBK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3545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nil"/>
            </w:tcBorders>
            <w:vAlign w:val="top"/>
          </w:tcPr>
          <w:p>
            <w:pPr>
              <w:tabs>
                <w:tab w:val="left" w:pos="5598"/>
              </w:tabs>
              <w:ind w:firstLine="156" w:firstLineChars="49"/>
              <w:rPr>
                <w:rFonts w:hint="eastAsia"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共青团广东省委办公室</w:t>
            </w:r>
          </w:p>
        </w:tc>
        <w:tc>
          <w:tcPr>
            <w:tcW w:w="47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tabs>
                <w:tab w:val="left" w:pos="5598"/>
              </w:tabs>
              <w:ind w:right="186" w:firstLine="790" w:firstLineChars="247"/>
              <w:rPr>
                <w:rFonts w:hint="eastAsia"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 xml:space="preserve">   201</w:t>
            </w:r>
            <w:r>
              <w:rPr>
                <w:rFonts w:hint="eastAsia" w:ascii="方正仿宋_GBK" w:hAnsi="仿宋_GB2312" w:eastAsia="方正仿宋_GBK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年</w:t>
            </w:r>
            <w:r>
              <w:rPr>
                <w:rFonts w:hint="eastAsia" w:ascii="方正仿宋_GBK" w:hAnsi="仿宋_GB2312" w:eastAsia="方正仿宋_GBK" w:cs="仿宋_GB2312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月</w:t>
            </w:r>
            <w:r>
              <w:rPr>
                <w:rFonts w:hint="eastAsia" w:ascii="方正仿宋_GBK" w:hAnsi="仿宋_GB2312" w:eastAsia="方正仿宋_GBK" w:cs="仿宋_GB2312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日印发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3545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nil"/>
            </w:tcBorders>
            <w:vAlign w:val="top"/>
          </w:tcPr>
          <w:p>
            <w:pPr>
              <w:tabs>
                <w:tab w:val="left" w:pos="5598"/>
              </w:tabs>
              <w:ind w:firstLine="156" w:firstLineChars="49"/>
              <w:rPr>
                <w:rFonts w:hint="eastAsia" w:ascii="方正仿宋_GBK" w:hAnsi="仿宋_GB2312" w:eastAsia="方正仿宋_GBK" w:cs="仿宋_GB2312"/>
                <w:sz w:val="32"/>
                <w:szCs w:val="32"/>
              </w:rPr>
            </w:pPr>
          </w:p>
        </w:tc>
        <w:tc>
          <w:tcPr>
            <w:tcW w:w="47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tabs>
                <w:tab w:val="left" w:pos="5598"/>
              </w:tabs>
              <w:ind w:right="186" w:firstLine="790" w:firstLineChars="247"/>
              <w:jc w:val="right"/>
              <w:rPr>
                <w:rFonts w:hint="eastAsia"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（共印100份）</w:t>
            </w:r>
          </w:p>
        </w:tc>
      </w:tr>
    </w:tbl>
    <w:p>
      <w:pPr>
        <w:jc w:val="left"/>
        <w:rPr>
          <w:rFonts w:hint="eastAsia" w:ascii="仿宋_GB2312" w:eastAsia="仿宋_GB2312"/>
          <w:b/>
          <w:color w:val="FF0000"/>
          <w:sz w:val="32"/>
          <w:szCs w:val="32"/>
          <w:u w:val="thick"/>
        </w:rPr>
      </w:pPr>
    </w:p>
    <w:p/>
    <w:sectPr>
      <w:pgSz w:w="11850" w:h="16783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10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0005F"/>
    <w:rsid w:val="664000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  <w:style w:type="paragraph" w:customStyle="1" w:styleId="7">
    <w:name w:val="主题词"/>
    <w:basedOn w:val="1"/>
    <w:uiPriority w:val="0"/>
    <w:pPr>
      <w:ind w:left="1400" w:hanging="1400"/>
    </w:pPr>
    <w:rPr>
      <w:rFonts w:eastAsia="公文小标宋简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2051"/>
    <customShpInfo spid="_x0000_s2052"/>
    <customShpInfo spid="_x0000_s2053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2016-11-25T03:23:00Z</dcterms:created>
  <dc:creator>田承荟</dc:creator>
  <cp:lastModifiedBy>田承荟</cp:lastModifiedBy>
  <dcterms:modified xsi:type="dcterms:W3CDTF">2016-11-25T03:24:30Z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