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bookmarkStart w:id="0" w:name="_GoBack"/>
      <w:r>
        <w:rPr>
          <w:rFonts w:hint="eastAsia" w:ascii="黑体" w:hAnsi="黑体" w:eastAsia="黑体" w:cs="黑体"/>
          <w:b w:val="0"/>
          <w:bCs w:val="0"/>
          <w:color w:val="auto"/>
          <w:sz w:val="32"/>
          <w:szCs w:val="32"/>
          <w:lang w:val="en-US" w:eastAsia="zh-CN"/>
        </w:rPr>
        <w:t>重点工作推进情况（10月份）</w:t>
      </w:r>
    </w:p>
    <w:bookmarkEnd w:id="0"/>
    <w:p>
      <w:pPr>
        <w:jc w:val="center"/>
        <w:rPr>
          <w:rFonts w:hint="eastAsia" w:ascii="仿宋_GB2312" w:hAnsi="仿宋_GB2312" w:eastAsia="仿宋_GB2312" w:cs="仿宋_GB2312"/>
          <w:b/>
          <w:bCs/>
          <w:color w:val="auto"/>
          <w:sz w:val="44"/>
          <w:szCs w:val="44"/>
          <w:lang w:val="en-US" w:eastAsia="zh-CN"/>
        </w:rPr>
      </w:pPr>
      <w:r>
        <w:rPr>
          <w:rFonts w:hint="eastAsia" w:ascii="仿宋_GB2312" w:hAnsi="仿宋_GB2312" w:eastAsia="仿宋_GB2312" w:cs="仿宋_GB2312"/>
          <w:b/>
          <w:bCs/>
          <w:color w:val="auto"/>
          <w:sz w:val="44"/>
          <w:szCs w:val="44"/>
          <w:lang w:val="en-US" w:eastAsia="zh-CN"/>
        </w:rPr>
        <w:t>10月份重点工作推进情况汇总表</w:t>
      </w:r>
    </w:p>
    <w:tbl>
      <w:tblPr>
        <w:tblStyle w:val="4"/>
        <w:tblW w:w="137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2503"/>
        <w:gridCol w:w="6237"/>
        <w:gridCol w:w="4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905" w:type="dxa"/>
            <w:vAlign w:val="top"/>
          </w:tcPr>
          <w:p>
            <w:pPr>
              <w:rPr>
                <w:rFonts w:hint="eastAsia" w:ascii="方正黑体_GBK" w:hAnsi="方正黑体_GBK" w:eastAsia="方正黑体_GBK" w:cs="方正黑体_GBK"/>
                <w:b/>
                <w:bCs/>
                <w:color w:val="auto"/>
                <w:sz w:val="28"/>
                <w:szCs w:val="28"/>
                <w:highlight w:val="none"/>
                <w:vertAlign w:val="baseline"/>
                <w:lang w:val="en-US" w:eastAsia="zh-CN"/>
              </w:rPr>
            </w:pPr>
            <w:r>
              <w:rPr>
                <w:rFonts w:hint="eastAsia" w:ascii="方正黑体_GBK" w:hAnsi="方正黑体_GBK" w:eastAsia="方正黑体_GBK" w:cs="方正黑体_GBK"/>
                <w:b/>
                <w:bCs/>
                <w:color w:val="auto"/>
                <w:sz w:val="28"/>
                <w:szCs w:val="28"/>
                <w:highlight w:val="none"/>
                <w:vertAlign w:val="baseline"/>
                <w:lang w:val="en-US" w:eastAsia="zh-CN"/>
              </w:rPr>
              <w:t>序号</w:t>
            </w:r>
          </w:p>
        </w:tc>
        <w:tc>
          <w:tcPr>
            <w:tcW w:w="2503" w:type="dxa"/>
            <w:vAlign w:val="top"/>
          </w:tcPr>
          <w:p>
            <w:pPr>
              <w:rPr>
                <w:rFonts w:hint="eastAsia" w:ascii="方正黑体_GBK" w:hAnsi="方正黑体_GBK" w:eastAsia="方正黑体_GBK" w:cs="方正黑体_GBK"/>
                <w:b/>
                <w:bCs/>
                <w:color w:val="auto"/>
                <w:sz w:val="28"/>
                <w:szCs w:val="28"/>
                <w:highlight w:val="none"/>
                <w:vertAlign w:val="baseline"/>
                <w:lang w:val="en-US" w:eastAsia="zh-CN"/>
              </w:rPr>
            </w:pPr>
            <w:r>
              <w:rPr>
                <w:rFonts w:hint="eastAsia" w:ascii="方正黑体_GBK" w:hAnsi="方正黑体_GBK" w:eastAsia="方正黑体_GBK" w:cs="方正黑体_GBK"/>
                <w:b/>
                <w:bCs/>
                <w:color w:val="auto"/>
                <w:sz w:val="28"/>
                <w:szCs w:val="28"/>
                <w:highlight w:val="none"/>
                <w:vertAlign w:val="baseline"/>
                <w:lang w:val="en-US" w:eastAsia="zh-CN"/>
              </w:rPr>
              <w:t>重点工作</w:t>
            </w:r>
          </w:p>
        </w:tc>
        <w:tc>
          <w:tcPr>
            <w:tcW w:w="6237" w:type="dxa"/>
            <w:vAlign w:val="top"/>
          </w:tcPr>
          <w:p>
            <w:pPr>
              <w:rPr>
                <w:rFonts w:hint="eastAsia" w:ascii="方正黑体_GBK" w:hAnsi="方正黑体_GBK" w:eastAsia="方正黑体_GBK" w:cs="方正黑体_GBK"/>
                <w:b/>
                <w:bCs/>
                <w:color w:val="auto"/>
                <w:sz w:val="28"/>
                <w:szCs w:val="28"/>
                <w:highlight w:val="none"/>
                <w:vertAlign w:val="baseline"/>
                <w:lang w:val="en-US" w:eastAsia="zh-CN"/>
              </w:rPr>
            </w:pPr>
            <w:r>
              <w:rPr>
                <w:rFonts w:hint="eastAsia" w:ascii="方正黑体_GBK" w:hAnsi="方正黑体_GBK" w:eastAsia="方正黑体_GBK" w:cs="方正黑体_GBK"/>
                <w:b/>
                <w:bCs/>
                <w:color w:val="auto"/>
                <w:sz w:val="28"/>
                <w:szCs w:val="28"/>
                <w:highlight w:val="none"/>
                <w:vertAlign w:val="baseline"/>
                <w:lang w:val="en-US" w:eastAsia="zh-CN"/>
              </w:rPr>
              <w:t>本月份推进情况</w:t>
            </w:r>
          </w:p>
        </w:tc>
        <w:tc>
          <w:tcPr>
            <w:tcW w:w="4065" w:type="dxa"/>
            <w:vAlign w:val="top"/>
          </w:tcPr>
          <w:p>
            <w:pPr>
              <w:rPr>
                <w:rFonts w:hint="eastAsia" w:ascii="方正黑体_GBK" w:hAnsi="方正黑体_GBK" w:eastAsia="方正黑体_GBK" w:cs="方正黑体_GBK"/>
                <w:b/>
                <w:bCs/>
                <w:color w:val="auto"/>
                <w:sz w:val="28"/>
                <w:szCs w:val="28"/>
                <w:highlight w:val="none"/>
                <w:vertAlign w:val="baseline"/>
                <w:lang w:val="en-US" w:eastAsia="zh-CN"/>
              </w:rPr>
            </w:pPr>
            <w:r>
              <w:rPr>
                <w:rFonts w:hint="eastAsia" w:ascii="方正黑体_GBK" w:hAnsi="方正黑体_GBK" w:eastAsia="方正黑体_GBK" w:cs="方正黑体_GBK"/>
                <w:b/>
                <w:bCs/>
                <w:color w:val="auto"/>
                <w:sz w:val="28"/>
                <w:szCs w:val="28"/>
                <w:highlight w:val="none"/>
                <w:vertAlign w:val="baseline"/>
                <w:lang w:val="en-US" w:eastAsia="zh-CN"/>
              </w:rPr>
              <w:t>下一步推进计划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9" w:hRule="atLeast"/>
        </w:trPr>
        <w:tc>
          <w:tcPr>
            <w:tcW w:w="905" w:type="dxa"/>
            <w:vAlign w:val="top"/>
          </w:tcPr>
          <w:p>
            <w:pPr>
              <w:rPr>
                <w:rFonts w:hint="eastAsia" w:ascii="方正黑体_GBK" w:hAnsi="方正黑体_GBK" w:eastAsia="方正黑体_GBK" w:cs="方正黑体_GBK"/>
                <w:color w:val="auto"/>
                <w:sz w:val="28"/>
                <w:szCs w:val="28"/>
                <w:highlight w:val="none"/>
                <w:vertAlign w:val="baseline"/>
                <w:lang w:val="en-US" w:eastAsia="zh-CN"/>
              </w:rPr>
            </w:pPr>
            <w:r>
              <w:rPr>
                <w:rFonts w:hint="eastAsia" w:ascii="方正黑体_GBK" w:hAnsi="方正黑体_GBK" w:eastAsia="方正黑体_GBK" w:cs="方正黑体_GBK"/>
                <w:color w:val="auto"/>
                <w:sz w:val="28"/>
                <w:szCs w:val="28"/>
                <w:highlight w:val="none"/>
                <w:vertAlign w:val="baseline"/>
                <w:lang w:val="en-US" w:eastAsia="zh-CN"/>
              </w:rPr>
              <w:t>1</w:t>
            </w:r>
          </w:p>
        </w:tc>
        <w:tc>
          <w:tcPr>
            <w:tcW w:w="2503" w:type="dxa"/>
            <w:vAlign w:val="top"/>
          </w:tcPr>
          <w:p>
            <w:pPr>
              <w:rPr>
                <w:rFonts w:hint="eastAsia" w:ascii="方正黑体_GBK" w:hAnsi="方正黑体_GBK" w:eastAsia="方正黑体_GBK" w:cs="方正黑体_GBK"/>
                <w:b/>
                <w:bCs/>
                <w:color w:val="auto"/>
                <w:sz w:val="28"/>
                <w:szCs w:val="28"/>
                <w:highlight w:val="none"/>
                <w:vertAlign w:val="baseline"/>
                <w:lang w:val="en-US" w:eastAsia="zh-CN"/>
              </w:rPr>
            </w:pPr>
            <w:r>
              <w:rPr>
                <w:rFonts w:hint="eastAsia" w:ascii="方正黑体_GBK" w:hAnsi="方正黑体_GBK" w:eastAsia="方正黑体_GBK" w:cs="方正黑体_GBK"/>
                <w:b/>
                <w:bCs/>
                <w:color w:val="auto"/>
                <w:sz w:val="28"/>
                <w:szCs w:val="28"/>
                <w:highlight w:val="none"/>
                <w:vertAlign w:val="baseline"/>
                <w:lang w:val="en-US" w:eastAsia="zh-CN"/>
              </w:rPr>
              <w:t>团的制度建设</w:t>
            </w:r>
          </w:p>
          <w:p>
            <w:pPr>
              <w:rPr>
                <w:rFonts w:hint="eastAsia" w:ascii="方正黑体_GBK" w:hAnsi="方正黑体_GBK" w:eastAsia="方正黑体_GBK" w:cs="方正黑体_GBK"/>
                <w:b/>
                <w:bCs/>
                <w:color w:val="auto"/>
                <w:sz w:val="28"/>
                <w:szCs w:val="28"/>
                <w:highlight w:val="none"/>
                <w:vertAlign w:val="baseline"/>
                <w:lang w:val="en-US" w:eastAsia="zh-CN"/>
              </w:rPr>
            </w:pPr>
          </w:p>
        </w:tc>
        <w:tc>
          <w:tcPr>
            <w:tcW w:w="6237" w:type="dxa"/>
            <w:vAlign w:val="top"/>
          </w:tcPr>
          <w:p>
            <w:pPr>
              <w:spacing w:beforeLines="0" w:afterLines="0"/>
              <w:ind w:firstLine="42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1.上报团中央传达学习宣传中央4号文件精神和中央党的会议精神工作方案；省委常委、政法委书记林少春召开协调会，就我省《实施意见》有关问题进行协商。</w:t>
            </w:r>
          </w:p>
          <w:p>
            <w:pPr>
              <w:spacing w:beforeLines="0" w:afterLines="0"/>
              <w:ind w:firstLine="420" w:firstLineChars="200"/>
              <w:jc w:val="left"/>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rPr>
              <w:t>抓紧督促各部门项目经费使用进度落实；继续有序推进机关及事业单位内审工作，按计划开展与各部门的情况碰头会，督促做好内审整改；组织开展我委机关及下属单位相关预算的填报工作。</w:t>
            </w:r>
          </w:p>
        </w:tc>
        <w:tc>
          <w:tcPr>
            <w:tcW w:w="4065" w:type="dxa"/>
            <w:vAlign w:val="top"/>
          </w:tcPr>
          <w:p>
            <w:pPr>
              <w:spacing w:beforeLines="0" w:afterLines="0"/>
              <w:ind w:firstLine="360" w:firstLineChars="200"/>
              <w:jc w:val="left"/>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rPr>
              <w:t>收集兄弟省市改革方案，梳理可借鉴改革举措。</w:t>
            </w:r>
          </w:p>
          <w:p>
            <w:pPr>
              <w:spacing w:beforeLines="0" w:afterLines="0"/>
              <w:ind w:firstLine="360" w:firstLineChars="20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eastAsia="zh-CN"/>
              </w:rPr>
              <w:t>进一步精简完善《共青团广东省委员会机关工作制度汇编》和《广东共青团战线工作指南》。</w:t>
            </w:r>
          </w:p>
          <w:p>
            <w:pPr>
              <w:rPr>
                <w:rFonts w:hint="eastAsia" w:ascii="宋体" w:hAnsi="宋体" w:eastAsia="宋体" w:cs="宋体"/>
                <w:b w:val="0"/>
                <w:bCs w:val="0"/>
                <w:color w:val="auto"/>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5" w:type="dxa"/>
            <w:vAlign w:val="top"/>
          </w:tcPr>
          <w:p>
            <w:pPr>
              <w:rPr>
                <w:rFonts w:hint="eastAsia" w:ascii="方正黑体_GBK" w:hAnsi="方正黑体_GBK" w:eastAsia="方正黑体_GBK" w:cs="方正黑体_GBK"/>
                <w:color w:val="auto"/>
                <w:sz w:val="28"/>
                <w:szCs w:val="28"/>
                <w:highlight w:val="none"/>
                <w:vertAlign w:val="baseline"/>
                <w:lang w:val="en-US" w:eastAsia="zh-CN"/>
              </w:rPr>
            </w:pPr>
            <w:r>
              <w:rPr>
                <w:rFonts w:hint="eastAsia" w:ascii="方正黑体_GBK" w:hAnsi="方正黑体_GBK" w:eastAsia="方正黑体_GBK" w:cs="方正黑体_GBK"/>
                <w:color w:val="auto"/>
                <w:sz w:val="28"/>
                <w:szCs w:val="28"/>
                <w:highlight w:val="none"/>
                <w:vertAlign w:val="baseline"/>
                <w:lang w:val="en-US" w:eastAsia="zh-CN"/>
              </w:rPr>
              <w:t>2</w:t>
            </w:r>
          </w:p>
        </w:tc>
        <w:tc>
          <w:tcPr>
            <w:tcW w:w="2503" w:type="dxa"/>
            <w:vAlign w:val="top"/>
          </w:tcPr>
          <w:p>
            <w:pPr>
              <w:spacing w:line="560" w:lineRule="exact"/>
              <w:rPr>
                <w:rFonts w:hint="eastAsia" w:ascii="方正黑体_GBK" w:hAnsi="方正黑体_GBK" w:eastAsia="方正黑体_GBK" w:cs="方正黑体_GBK"/>
                <w:b/>
                <w:bCs/>
                <w:color w:val="auto"/>
                <w:sz w:val="28"/>
                <w:szCs w:val="28"/>
                <w:highlight w:val="none"/>
              </w:rPr>
            </w:pPr>
            <w:r>
              <w:rPr>
                <w:rFonts w:hint="eastAsia" w:ascii="方正黑体_GBK" w:hAnsi="方正黑体_GBK" w:eastAsia="方正黑体_GBK" w:cs="方正黑体_GBK"/>
                <w:b/>
                <w:bCs/>
                <w:color w:val="auto"/>
                <w:sz w:val="28"/>
                <w:szCs w:val="28"/>
                <w:highlight w:val="none"/>
              </w:rPr>
              <w:t>基层服务型团组织建设</w:t>
            </w:r>
          </w:p>
          <w:p>
            <w:pPr>
              <w:spacing w:line="560" w:lineRule="exact"/>
              <w:rPr>
                <w:rFonts w:hint="eastAsia" w:ascii="方正黑体_GBK" w:hAnsi="方正黑体_GBK" w:eastAsia="方正黑体_GBK" w:cs="方正黑体_GBK"/>
                <w:b/>
                <w:bCs/>
                <w:color w:val="auto"/>
                <w:sz w:val="28"/>
                <w:szCs w:val="28"/>
                <w:highlight w:val="none"/>
                <w:lang w:val="en-US" w:eastAsia="zh-CN"/>
              </w:rPr>
            </w:pPr>
          </w:p>
        </w:tc>
        <w:tc>
          <w:tcPr>
            <w:tcW w:w="6237" w:type="dxa"/>
            <w:vAlign w:val="top"/>
          </w:tcPr>
          <w:p>
            <w:pPr>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1在全省下发《关于申报2015年省级示范性青少年综合服务平台的通知》（团粤办发[2015]85号），对全省创建活动进行动员部署。</w:t>
            </w:r>
          </w:p>
          <w:p>
            <w:pPr>
              <w:numPr>
                <w:ilvl w:val="0"/>
                <w:numId w:val="1"/>
              </w:numPr>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继续督促</w:t>
            </w:r>
            <w:r>
              <w:rPr>
                <w:rFonts w:hint="eastAsia" w:ascii="宋体" w:hAnsi="宋体" w:eastAsia="宋体" w:cs="宋体"/>
                <w:color w:val="auto"/>
                <w:sz w:val="21"/>
                <w:szCs w:val="21"/>
                <w:lang w:val="en-US" w:eastAsia="zh-CN"/>
              </w:rPr>
              <w:t>“活力在基层”优秀服务型团组织创建活动</w:t>
            </w:r>
            <w:r>
              <w:rPr>
                <w:rFonts w:hint="eastAsia" w:ascii="宋体" w:hAnsi="宋体" w:eastAsia="宋体" w:cs="宋体"/>
                <w:color w:val="auto"/>
                <w:sz w:val="21"/>
                <w:szCs w:val="21"/>
                <w:lang w:val="zh-CN" w:eastAsia="zh-CN"/>
              </w:rPr>
              <w:t>第一赛季各项目提交活动总结，推进第二赛季的项目复核工作，推进活力在基层工作与五四红旗团委创建工作进行融合对接。</w:t>
            </w:r>
          </w:p>
          <w:p>
            <w:pPr>
              <w:numPr>
                <w:ilvl w:val="0"/>
                <w:numId w:val="1"/>
              </w:numPr>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推动团员成为注册志愿者工作，</w:t>
            </w:r>
            <w:r>
              <w:rPr>
                <w:rFonts w:hint="eastAsia" w:ascii="宋体" w:hAnsi="宋体" w:eastAsia="宋体" w:cs="宋体"/>
                <w:color w:val="auto"/>
                <w:sz w:val="21"/>
                <w:szCs w:val="21"/>
                <w:lang w:val="en-US" w:eastAsia="zh-CN"/>
              </w:rPr>
              <w:t>截至目前，累计有1148360</w:t>
            </w:r>
            <w:r>
              <w:rPr>
                <w:rFonts w:hint="eastAsia" w:ascii="宋体" w:hAnsi="宋体" w:eastAsia="宋体" w:cs="宋体"/>
                <w:color w:val="auto"/>
                <w:sz w:val="21"/>
                <w:szCs w:val="21"/>
                <w:lang w:val="zh-CN" w:eastAsia="zh-CN"/>
              </w:rPr>
              <w:t>名团员注册成为志愿者。</w:t>
            </w:r>
          </w:p>
          <w:p>
            <w:pPr>
              <w:numPr>
                <w:ilvl w:val="0"/>
                <w:numId w:val="1"/>
              </w:numPr>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推进城乡区域化团建工作。</w:t>
            </w:r>
            <w:r>
              <w:rPr>
                <w:rFonts w:hint="eastAsia" w:ascii="宋体" w:hAnsi="宋体" w:eastAsia="宋体" w:cs="宋体"/>
                <w:b/>
                <w:bCs/>
                <w:color w:val="auto"/>
                <w:sz w:val="21"/>
                <w:szCs w:val="21"/>
                <w:lang w:val="zh-CN" w:eastAsia="zh-CN"/>
              </w:rPr>
              <w:t>城市方面，</w:t>
            </w:r>
            <w:r>
              <w:rPr>
                <w:rFonts w:hint="eastAsia" w:ascii="宋体" w:hAnsi="宋体" w:eastAsia="宋体" w:cs="宋体"/>
                <w:color w:val="auto"/>
                <w:sz w:val="21"/>
                <w:szCs w:val="21"/>
                <w:lang w:val="zh-CN" w:eastAsia="zh-CN"/>
              </w:rPr>
              <w:t>对10个城市街道区域化团建示范点进行实地考察，总结示范点的经验与不足，并报送材料给团中央。</w:t>
            </w:r>
            <w:r>
              <w:rPr>
                <w:rFonts w:hint="eastAsia" w:ascii="宋体" w:hAnsi="宋体" w:eastAsia="宋体" w:cs="宋体"/>
                <w:b/>
                <w:bCs/>
                <w:color w:val="auto"/>
                <w:sz w:val="21"/>
                <w:szCs w:val="21"/>
                <w:lang w:val="zh-CN" w:eastAsia="zh-CN"/>
              </w:rPr>
              <w:t>农村方面，</w:t>
            </w:r>
            <w:r>
              <w:rPr>
                <w:rFonts w:hint="eastAsia" w:ascii="宋体" w:hAnsi="宋体" w:eastAsia="宋体" w:cs="宋体"/>
                <w:color w:val="auto"/>
                <w:sz w:val="21"/>
                <w:szCs w:val="21"/>
                <w:lang w:val="zh-CN" w:eastAsia="zh-CN"/>
              </w:rPr>
              <w:t>按进度推进开展“百县千乡”分类示范创建活动。编印第8期《广东农青工作信息》简报（《团肇庆市委大力推进农村电子商务建设》）分发各地市；转发团中央《关于集中举办“百县千乡”分类示范创建工作述评会的通知》至各地市；与京东集团合作，组织11000多名乡村推广员在粤东西北开展扶贫、文化、体育、环保等方面活动847场（次）。</w:t>
            </w:r>
          </w:p>
        </w:tc>
        <w:tc>
          <w:tcPr>
            <w:tcW w:w="4065" w:type="dxa"/>
            <w:vAlign w:val="top"/>
          </w:tcPr>
          <w:p>
            <w:pPr>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lang w:val="zh-CN" w:eastAsia="zh-CN"/>
              </w:rPr>
              <w:t>对</w:t>
            </w:r>
            <w:r>
              <w:rPr>
                <w:rFonts w:hint="eastAsia" w:ascii="宋体" w:hAnsi="宋体" w:eastAsia="宋体" w:cs="宋体"/>
                <w:color w:val="auto"/>
                <w:sz w:val="21"/>
                <w:szCs w:val="21"/>
                <w:lang w:val="en-US" w:eastAsia="zh-CN"/>
              </w:rPr>
              <w:t>2014年团中央支持的青少年综合服务平台建设经费使用、管理情况进行年度督查</w:t>
            </w:r>
            <w:r>
              <w:rPr>
                <w:rFonts w:hint="eastAsia" w:ascii="宋体" w:hAnsi="宋体" w:eastAsia="宋体" w:cs="宋体"/>
                <w:color w:val="auto"/>
                <w:sz w:val="21"/>
                <w:szCs w:val="21"/>
                <w:lang w:val="zh-CN" w:eastAsia="zh-CN"/>
              </w:rPr>
              <w:t>；</w:t>
            </w:r>
            <w:r>
              <w:rPr>
                <w:rFonts w:hint="eastAsia" w:ascii="宋体" w:hAnsi="宋体" w:eastAsia="宋体" w:cs="宋体"/>
                <w:color w:val="auto"/>
                <w:sz w:val="21"/>
                <w:szCs w:val="21"/>
                <w:lang w:val="en-US" w:eastAsia="zh-CN"/>
              </w:rPr>
              <w:t>开展2015年团中央支持的青少年综合服务平台的经费下拨工作；</w:t>
            </w:r>
            <w:r>
              <w:rPr>
                <w:rFonts w:hint="eastAsia" w:ascii="宋体" w:hAnsi="宋体" w:eastAsia="宋体" w:cs="宋体"/>
                <w:color w:val="auto"/>
                <w:sz w:val="21"/>
                <w:szCs w:val="21"/>
                <w:lang w:val="zh-CN" w:eastAsia="zh-CN"/>
              </w:rPr>
              <w:t>开展省级示范性青少年综合服务平台的认定工作。</w:t>
            </w:r>
          </w:p>
          <w:p>
            <w:pPr>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eastAsia="zh-CN"/>
              </w:rPr>
              <w:t>加大地市宣传力度，举办团员志愿者培训。</w:t>
            </w:r>
          </w:p>
          <w:p>
            <w:pPr>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eastAsia="zh-CN"/>
              </w:rPr>
              <w:t>计划11月份开展全省街道区域化团建集中活动月，通知正在拟下发；</w:t>
            </w:r>
            <w:r>
              <w:rPr>
                <w:rFonts w:hint="eastAsia" w:ascii="宋体" w:hAnsi="宋体" w:eastAsia="宋体" w:cs="宋体"/>
                <w:color w:val="auto"/>
                <w:sz w:val="21"/>
                <w:szCs w:val="21"/>
                <w:lang w:val="en-US" w:eastAsia="zh-CN"/>
              </w:rPr>
              <w:t>农村方面，</w:t>
            </w:r>
            <w:r>
              <w:rPr>
                <w:rFonts w:hint="eastAsia" w:ascii="宋体" w:hAnsi="宋体" w:eastAsia="宋体" w:cs="宋体"/>
                <w:color w:val="auto"/>
                <w:sz w:val="21"/>
                <w:szCs w:val="21"/>
                <w:lang w:val="zh-CN" w:eastAsia="zh-CN"/>
              </w:rPr>
              <w:t>11月-12月，重点开展“百县千乡”分类示范创建活动成果提升阶段工作。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vAlign w:val="top"/>
          </w:tcPr>
          <w:p>
            <w:pPr>
              <w:rPr>
                <w:rFonts w:hint="eastAsia" w:ascii="方正黑体_GBK" w:hAnsi="方正黑体_GBK" w:eastAsia="方正黑体_GBK" w:cs="方正黑体_GBK"/>
                <w:color w:val="auto"/>
                <w:sz w:val="28"/>
                <w:szCs w:val="28"/>
                <w:highlight w:val="none"/>
                <w:vertAlign w:val="baseline"/>
                <w:lang w:val="en-US" w:eastAsia="zh-CN"/>
              </w:rPr>
            </w:pPr>
            <w:r>
              <w:rPr>
                <w:rFonts w:hint="eastAsia" w:ascii="方正黑体_GBK" w:hAnsi="方正黑体_GBK" w:eastAsia="方正黑体_GBK" w:cs="方正黑体_GBK"/>
                <w:color w:val="auto"/>
                <w:sz w:val="28"/>
                <w:szCs w:val="28"/>
                <w:highlight w:val="none"/>
                <w:vertAlign w:val="baseline"/>
                <w:lang w:val="en-US" w:eastAsia="zh-CN"/>
              </w:rPr>
              <w:t>3</w:t>
            </w:r>
          </w:p>
        </w:tc>
        <w:tc>
          <w:tcPr>
            <w:tcW w:w="2503" w:type="dxa"/>
            <w:vAlign w:val="top"/>
          </w:tcPr>
          <w:p>
            <w:pPr>
              <w:rPr>
                <w:rFonts w:hint="eastAsia" w:ascii="方正黑体_GBK" w:hAnsi="方正黑体_GBK" w:eastAsia="方正黑体_GBK" w:cs="方正黑体_GBK"/>
                <w:b/>
                <w:bCs/>
                <w:color w:val="auto"/>
                <w:sz w:val="28"/>
                <w:szCs w:val="28"/>
                <w:highlight w:val="none"/>
              </w:rPr>
            </w:pPr>
            <w:r>
              <w:rPr>
                <w:rFonts w:hint="eastAsia" w:ascii="方正黑体_GBK" w:hAnsi="方正黑体_GBK" w:eastAsia="方正黑体_GBK" w:cs="方正黑体_GBK"/>
                <w:b/>
                <w:bCs/>
                <w:color w:val="auto"/>
                <w:sz w:val="28"/>
                <w:szCs w:val="28"/>
                <w:highlight w:val="none"/>
              </w:rPr>
              <w:t>团干部队伍建设</w:t>
            </w:r>
          </w:p>
          <w:p>
            <w:pPr>
              <w:rPr>
                <w:rFonts w:hint="eastAsia" w:ascii="方正黑体_GBK" w:hAnsi="方正黑体_GBK" w:eastAsia="方正黑体_GBK" w:cs="方正黑体_GBK"/>
                <w:b/>
                <w:bCs/>
                <w:color w:val="auto"/>
                <w:sz w:val="28"/>
                <w:szCs w:val="28"/>
                <w:highlight w:val="none"/>
                <w:lang w:val="en-US" w:eastAsia="zh-CN"/>
              </w:rPr>
            </w:pPr>
          </w:p>
        </w:tc>
        <w:tc>
          <w:tcPr>
            <w:tcW w:w="6237" w:type="dxa"/>
            <w:vAlign w:val="top"/>
          </w:tcPr>
          <w:p>
            <w:pPr>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1.举办第三期全省团干主体培训班，来自中职院校、中学、企业近340名团干参加轮训。</w:t>
            </w:r>
          </w:p>
          <w:p>
            <w:pPr>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2.全省发放《关于在 “团干部如何健康成长”大讨论活动中做好征集青年意见工作、开好民主（组织）生活会的通知》，并做好相关征求青年意见等工作；总结团省委开展大讨论活动经验，上报团中央。</w:t>
            </w:r>
          </w:p>
        </w:tc>
        <w:tc>
          <w:tcPr>
            <w:tcW w:w="4065" w:type="dxa"/>
            <w:vAlign w:val="top"/>
          </w:tcPr>
          <w:p>
            <w:pP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 xml:space="preserve">    1.督导各级择优配齐市、县团委书记班子和机关干部。</w:t>
            </w:r>
          </w:p>
          <w:p>
            <w:pPr>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en-US" w:eastAsia="zh-CN"/>
              </w:rPr>
              <w:t xml:space="preserve">    2.落实第三期培训班实施方案，完善团干培训师资库建设。</w:t>
            </w:r>
          </w:p>
          <w:p>
            <w:p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3.团省委党组以及各党组织开展“三严三实”专题三研讨；收集、整理全省“青年意见清单”，做好召开团省委党组民主生活会的准备。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5" w:hRule="atLeast"/>
        </w:trPr>
        <w:tc>
          <w:tcPr>
            <w:tcW w:w="905" w:type="dxa"/>
            <w:vAlign w:val="top"/>
          </w:tcPr>
          <w:p>
            <w:pPr>
              <w:rPr>
                <w:rFonts w:hint="eastAsia" w:ascii="方正黑体_GBK" w:hAnsi="方正黑体_GBK" w:eastAsia="方正黑体_GBK" w:cs="方正黑体_GBK"/>
                <w:color w:val="auto"/>
                <w:sz w:val="28"/>
                <w:szCs w:val="28"/>
                <w:highlight w:val="none"/>
                <w:vertAlign w:val="baseline"/>
                <w:lang w:val="en-US" w:eastAsia="zh-CN"/>
              </w:rPr>
            </w:pPr>
            <w:r>
              <w:rPr>
                <w:rFonts w:hint="eastAsia" w:ascii="方正黑体_GBK" w:hAnsi="方正黑体_GBK" w:eastAsia="方正黑体_GBK" w:cs="方正黑体_GBK"/>
                <w:color w:val="auto"/>
                <w:sz w:val="28"/>
                <w:szCs w:val="28"/>
                <w:highlight w:val="none"/>
                <w:vertAlign w:val="baseline"/>
                <w:lang w:val="en-US" w:eastAsia="zh-CN"/>
              </w:rPr>
              <w:t>4</w:t>
            </w:r>
          </w:p>
        </w:tc>
        <w:tc>
          <w:tcPr>
            <w:tcW w:w="2503" w:type="dxa"/>
            <w:vAlign w:val="top"/>
          </w:tcPr>
          <w:p>
            <w:pPr>
              <w:rPr>
                <w:rFonts w:hint="eastAsia" w:ascii="方正黑体_GBK" w:hAnsi="方正黑体_GBK" w:eastAsia="方正黑体_GBK" w:cs="方正黑体_GBK"/>
                <w:b/>
                <w:bCs/>
                <w:color w:val="auto"/>
                <w:sz w:val="28"/>
                <w:szCs w:val="28"/>
                <w:highlight w:val="none"/>
              </w:rPr>
            </w:pPr>
            <w:r>
              <w:rPr>
                <w:rFonts w:hint="eastAsia" w:ascii="方正黑体_GBK" w:hAnsi="方正黑体_GBK" w:eastAsia="方正黑体_GBK" w:cs="方正黑体_GBK"/>
                <w:b/>
                <w:bCs/>
                <w:color w:val="auto"/>
                <w:sz w:val="28"/>
                <w:szCs w:val="28"/>
                <w:highlight w:val="none"/>
              </w:rPr>
              <w:t>共青团宣传思想工作</w:t>
            </w:r>
          </w:p>
          <w:p>
            <w:pPr>
              <w:rPr>
                <w:rFonts w:hint="eastAsia" w:ascii="方正黑体_GBK" w:hAnsi="方正黑体_GBK" w:eastAsia="方正黑体_GBK" w:cs="方正黑体_GBK"/>
                <w:b/>
                <w:bCs/>
                <w:color w:val="auto"/>
                <w:sz w:val="28"/>
                <w:szCs w:val="28"/>
                <w:highlight w:val="none"/>
                <w:lang w:val="en-US" w:eastAsia="zh-CN"/>
              </w:rPr>
            </w:pPr>
          </w:p>
        </w:tc>
        <w:tc>
          <w:tcPr>
            <w:tcW w:w="6237" w:type="dxa"/>
            <w:vAlign w:val="top"/>
          </w:tcPr>
          <w:p>
            <w:pPr>
              <w:numPr>
                <w:ilvl w:val="0"/>
                <w:numId w:val="2"/>
              </w:numPr>
              <w:adjustRightInd w:val="0"/>
              <w:snapToGrid w:val="0"/>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b w:val="0"/>
                <w:bCs w:val="0"/>
                <w:color w:val="auto"/>
                <w:sz w:val="21"/>
                <w:szCs w:val="21"/>
                <w:lang w:eastAsia="zh-CN"/>
              </w:rPr>
              <w:t>推进青网计划网络文明志愿者队伍建设。</w:t>
            </w:r>
            <w:r>
              <w:rPr>
                <w:rFonts w:hint="eastAsia" w:ascii="宋体" w:hAnsi="宋体" w:eastAsia="宋体" w:cs="宋体"/>
                <w:b w:val="0"/>
                <w:bCs w:val="0"/>
                <w:color w:val="auto"/>
                <w:sz w:val="21"/>
                <w:szCs w:val="21"/>
                <w:lang w:val="zh-CN" w:eastAsia="zh-CN"/>
              </w:rPr>
              <w:t>搭建包括人员管理、队伍动员、项目发布、服务计时、数据统计等功能在内的有效管理体系，全省已有106.5万人通过该平台注册成为青年网络文明志愿者；建立骨干志愿者队伍的三级直</w:t>
            </w:r>
            <w:r>
              <w:rPr>
                <w:rFonts w:hint="eastAsia" w:ascii="宋体" w:hAnsi="宋体" w:eastAsia="宋体" w:cs="宋体"/>
                <w:color w:val="auto"/>
                <w:sz w:val="21"/>
                <w:szCs w:val="21"/>
                <w:lang w:val="zh-CN" w:eastAsia="zh-CN"/>
              </w:rPr>
              <w:t>联制度。省级组建20人左右的青微工程核心队伍，21个地市、121个县区分别组建“青网盟”骨干工作微信群，共纳入全省5818余名市、县网络文明志愿者骨干，确保重大节点和重要事件时的及时、有效发声；在省内九个地市实施“青网计划”示范项目，做实做新青年网络文明志愿行动。目前，由团中央宣传部为指导单位、团东莞市委为承办单位的广东青少年网络文明志愿服务项目设计大赛已全面开展。</w:t>
            </w:r>
          </w:p>
          <w:p>
            <w:pPr>
              <w:numPr>
                <w:ilvl w:val="0"/>
                <w:numId w:val="2"/>
              </w:numPr>
              <w:adjustRightInd w:val="0"/>
              <w:snapToGrid w:val="0"/>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zh-CN" w:eastAsia="zh-CN"/>
              </w:rPr>
              <w:t>新媒体工作室做好微信编发工作，当月各周在团中央微信影响力榜单中最高排名第5。</w:t>
            </w:r>
          </w:p>
          <w:p>
            <w:pPr>
              <w:numPr>
                <w:ilvl w:val="0"/>
                <w:numId w:val="2"/>
              </w:numPr>
              <w:adjustRightInd w:val="0"/>
              <w:snapToGrid w:val="0"/>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eastAsia="zh-CN"/>
              </w:rPr>
              <w:t>推</w:t>
            </w:r>
            <w:r>
              <w:rPr>
                <w:rFonts w:hint="eastAsia" w:ascii="宋体" w:hAnsi="宋体" w:eastAsia="宋体" w:cs="宋体"/>
                <w:color w:val="auto"/>
                <w:sz w:val="21"/>
                <w:szCs w:val="21"/>
              </w:rPr>
              <w:t>动广东共青团学校战线“广东青年之声”平台的建设工作，四个试点高校网站上线，建立了专家服务联盟，直接面向广大青年开展联系与服务，线上倾听青年心声、解答青年疑惑，线下配套开展服务青年工作项目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组织</w:t>
            </w:r>
            <w:r>
              <w:rPr>
                <w:rFonts w:hint="eastAsia" w:ascii="宋体" w:hAnsi="宋体" w:eastAsia="宋体" w:cs="宋体"/>
                <w:color w:val="auto"/>
                <w:sz w:val="21"/>
                <w:szCs w:val="21"/>
                <w:lang w:val="zh-CN" w:eastAsia="zh-CN"/>
              </w:rPr>
              <w:t>青年五四奖章获得者参与“青年之声”平台互动</w:t>
            </w:r>
            <w:r>
              <w:rPr>
                <w:rFonts w:hint="eastAsia" w:ascii="宋体" w:hAnsi="宋体" w:eastAsia="宋体" w:cs="宋体"/>
                <w:color w:val="auto"/>
                <w:sz w:val="21"/>
                <w:szCs w:val="21"/>
                <w:lang w:val="en-US" w:eastAsia="zh-CN"/>
              </w:rPr>
              <w:t>，</w:t>
            </w:r>
            <w:r>
              <w:rPr>
                <w:rFonts w:hint="eastAsia" w:ascii="宋体" w:hAnsi="宋体" w:eastAsia="宋体" w:cs="宋体"/>
                <w:color w:val="auto"/>
                <w:sz w:val="21"/>
                <w:szCs w:val="21"/>
                <w:lang w:val="zh-CN" w:eastAsia="zh-CN"/>
              </w:rPr>
              <w:t>邀请他们利用业余时间在自己擅长的领域内为青年成长提供帮助，并推出“三个一”的具体工作制度。</w:t>
            </w:r>
          </w:p>
          <w:p>
            <w:pPr>
              <w:numPr>
                <w:ilvl w:val="0"/>
                <w:numId w:val="2"/>
              </w:numPr>
              <w:adjustRightInd w:val="0"/>
              <w:snapToGrid w:val="0"/>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下发《关于学习贯彻高校团委书记“三严三实”专题教育座谈会议精神的通知》《关于在 “团干部如何健康成长”大讨论活动中做好征集青年意见工作、开好民主 (组织) 生活会的通知》，转发《关于在秋季开学后开展全国大中学生培育和践行社会核心价值观主题宣传月的通知》</w:t>
            </w:r>
            <w:r>
              <w:rPr>
                <w:rFonts w:hint="eastAsia" w:ascii="宋体" w:hAnsi="宋体" w:eastAsia="宋体" w:cs="宋体"/>
                <w:color w:val="auto"/>
                <w:sz w:val="21"/>
                <w:szCs w:val="21"/>
                <w:lang w:eastAsia="zh-CN"/>
              </w:rPr>
              <w:t>。</w:t>
            </w:r>
          </w:p>
          <w:p>
            <w:pPr>
              <w:numPr>
                <w:ilvl w:val="0"/>
                <w:numId w:val="2"/>
              </w:numPr>
              <w:adjustRightInd w:val="0"/>
              <w:snapToGrid w:val="0"/>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在全省高校开展文艺名家进校园活动</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组织申报“五个100”优秀国学项目，并将选拔结果上报团中央。</w:t>
            </w:r>
          </w:p>
        </w:tc>
        <w:tc>
          <w:tcPr>
            <w:tcW w:w="4065" w:type="dxa"/>
            <w:vAlign w:val="top"/>
          </w:tcPr>
          <w:p>
            <w:pPr>
              <w:numPr>
                <w:ilvl w:val="0"/>
                <w:numId w:val="3"/>
              </w:numPr>
              <w:adjustRightInd w:val="0"/>
              <w:snapToGrid w:val="0"/>
              <w:ind w:firstLine="420" w:firstLineChars="200"/>
              <w:rPr>
                <w:rFonts w:hint="eastAsia" w:ascii="宋体" w:hAnsi="宋体" w:eastAsia="宋体" w:cs="宋体"/>
                <w:color w:val="auto"/>
                <w:sz w:val="21"/>
                <w:szCs w:val="21"/>
                <w:lang w:val="zh-CN" w:eastAsia="zh-CN"/>
              </w:rPr>
            </w:pPr>
            <w:r>
              <w:rPr>
                <w:rFonts w:hint="eastAsia" w:ascii="宋体" w:hAnsi="宋体" w:eastAsia="宋体" w:cs="宋体"/>
                <w:color w:val="auto"/>
                <w:sz w:val="21"/>
                <w:szCs w:val="21"/>
                <w:lang w:val="zh-CN" w:eastAsia="zh-CN"/>
              </w:rPr>
              <w:t xml:space="preserve">继续扎实推进“青网计划”示范项目，打造清朗网络空间；完善网络文明志愿者骨干三级直联制度，发展各级“青网盟”骨干力量。 </w:t>
            </w:r>
          </w:p>
          <w:p>
            <w:pPr>
              <w:numPr>
                <w:ilvl w:val="0"/>
                <w:numId w:val="3"/>
              </w:numPr>
              <w:adjustRightInd w:val="0"/>
              <w:snapToGrid w:val="0"/>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zh-CN" w:eastAsia="zh-CN"/>
              </w:rPr>
              <w:t>继续扎实推进广东“青年之声”工作，完善平台功能，组织线下服务联盟。</w:t>
            </w:r>
          </w:p>
          <w:p>
            <w:pPr>
              <w:numPr>
                <w:ilvl w:val="0"/>
                <w:numId w:val="3"/>
              </w:numPr>
              <w:adjustRightInd w:val="0"/>
              <w:snapToGrid w:val="0"/>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做好各高校的宣传思想方面的总结材料的收取工作</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进一步推进大中专学生开展“走下网络、走出宿舍、走向操场”主题群众性课外体育锻炼活动，传播青春正能量</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结合第十届广东大中专学生校园文体艺术节，引导大中专学生“勤学、修德、明辨、笃实”，督促各高校做好参赛工作。</w:t>
            </w:r>
          </w:p>
          <w:p>
            <w:pPr>
              <w:ind w:firstLine="560" w:firstLineChars="200"/>
              <w:rPr>
                <w:rFonts w:hint="eastAsia" w:ascii="宋体" w:hAnsi="宋体" w:eastAsia="宋体" w:cs="宋体"/>
                <w:color w:val="auto"/>
                <w:sz w:val="21"/>
                <w:szCs w:val="21"/>
                <w:lang w:val="en-US" w:eastAsia="zh-CN"/>
              </w:rPr>
            </w:pPr>
          </w:p>
          <w:p>
            <w:pPr>
              <w:ind w:firstLine="560" w:firstLineChars="200"/>
              <w:rPr>
                <w:rFonts w:hint="eastAsia" w:ascii="宋体" w:hAnsi="宋体" w:eastAsia="宋体" w:cs="宋体"/>
                <w:color w:val="auto"/>
                <w:sz w:val="21"/>
                <w:szCs w:val="21"/>
                <w:lang w:val="en-US" w:eastAsia="zh-CN"/>
              </w:rPr>
            </w:pPr>
          </w:p>
          <w:p>
            <w:pPr>
              <w:ind w:firstLine="560" w:firstLineChars="200"/>
              <w:rPr>
                <w:rFonts w:hint="eastAsia" w:ascii="宋体" w:hAnsi="宋体" w:eastAsia="宋体" w:cs="宋体"/>
                <w:color w:val="auto"/>
                <w:sz w:val="21"/>
                <w:szCs w:val="21"/>
                <w:lang w:val="en-US" w:eastAsia="zh-CN"/>
              </w:rPr>
            </w:pPr>
          </w:p>
          <w:p>
            <w:pPr>
              <w:ind w:firstLine="560" w:firstLineChars="200"/>
              <w:rPr>
                <w:rFonts w:hint="eastAsia" w:ascii="宋体" w:hAnsi="宋体" w:eastAsia="宋体" w:cs="宋体"/>
                <w:color w:val="auto"/>
                <w:sz w:val="21"/>
                <w:szCs w:val="21"/>
                <w:lang w:val="en-US" w:eastAsia="zh-CN"/>
              </w:rPr>
            </w:pPr>
          </w:p>
          <w:p>
            <w:pPr>
              <w:ind w:firstLine="560" w:firstLineChars="200"/>
              <w:rPr>
                <w:rFonts w:hint="eastAsia" w:ascii="宋体" w:hAnsi="宋体" w:eastAsia="宋体" w:cs="宋体"/>
                <w:color w:val="auto"/>
                <w:sz w:val="21"/>
                <w:szCs w:val="21"/>
                <w:lang w:val="en-US" w:eastAsia="zh-CN"/>
              </w:rPr>
            </w:pPr>
          </w:p>
          <w:p>
            <w:pPr>
              <w:ind w:firstLine="560" w:firstLineChars="200"/>
              <w:rPr>
                <w:rFonts w:hint="eastAsia" w:ascii="宋体" w:hAnsi="宋体" w:eastAsia="宋体" w:cs="宋体"/>
                <w:color w:val="auto"/>
                <w:sz w:val="21"/>
                <w:szCs w:val="21"/>
                <w:lang w:val="en-US" w:eastAsia="zh-CN"/>
              </w:rPr>
            </w:pPr>
          </w:p>
          <w:p>
            <w:pPr>
              <w:ind w:firstLine="560" w:firstLineChars="200"/>
              <w:rPr>
                <w:rFonts w:hint="eastAsia" w:ascii="宋体" w:hAnsi="宋体" w:eastAsia="宋体" w:cs="宋体"/>
                <w:color w:val="auto"/>
                <w:sz w:val="21"/>
                <w:szCs w:val="21"/>
                <w:lang w:val="en-US" w:eastAsia="zh-CN"/>
              </w:rPr>
            </w:pPr>
          </w:p>
          <w:p>
            <w:pPr>
              <w:ind w:firstLine="560" w:firstLineChars="200"/>
              <w:rPr>
                <w:rFonts w:hint="eastAsia" w:ascii="宋体" w:hAnsi="宋体" w:eastAsia="宋体" w:cs="宋体"/>
                <w:color w:val="auto"/>
                <w:sz w:val="21"/>
                <w:szCs w:val="21"/>
                <w:lang w:val="en-US" w:eastAsia="zh-CN"/>
              </w:rPr>
            </w:pPr>
          </w:p>
          <w:p>
            <w:pPr>
              <w:ind w:firstLine="560" w:firstLineChars="200"/>
              <w:rPr>
                <w:rFonts w:hint="eastAsia" w:ascii="宋体" w:hAnsi="宋体" w:eastAsia="宋体" w:cs="宋体"/>
                <w:color w:val="auto"/>
                <w:sz w:val="21"/>
                <w:szCs w:val="21"/>
                <w:lang w:val="en-US" w:eastAsia="zh-CN"/>
              </w:rPr>
            </w:pPr>
          </w:p>
          <w:p>
            <w:pPr>
              <w:ind w:firstLine="560" w:firstLineChars="200"/>
              <w:rPr>
                <w:rFonts w:hint="eastAsia" w:ascii="宋体" w:hAnsi="宋体" w:eastAsia="宋体" w:cs="宋体"/>
                <w:color w:val="auto"/>
                <w:sz w:val="21"/>
                <w:szCs w:val="21"/>
                <w:lang w:val="en-US" w:eastAsia="zh-CN"/>
              </w:rPr>
            </w:pPr>
          </w:p>
          <w:p>
            <w:pPr>
              <w:ind w:firstLine="560" w:firstLineChars="200"/>
              <w:rPr>
                <w:rFonts w:hint="eastAsia" w:ascii="宋体" w:hAnsi="宋体" w:eastAsia="宋体" w:cs="宋体"/>
                <w:color w:val="auto"/>
                <w:sz w:val="21"/>
                <w:szCs w:val="21"/>
                <w:lang w:val="en-US" w:eastAsia="zh-CN"/>
              </w:rPr>
            </w:pPr>
          </w:p>
          <w:p>
            <w:pPr>
              <w:ind w:firstLine="560" w:firstLineChars="200"/>
              <w:rPr>
                <w:rFonts w:hint="eastAsia" w:ascii="宋体" w:hAnsi="宋体" w:eastAsia="宋体" w:cs="宋体"/>
                <w:color w:val="auto"/>
                <w:sz w:val="21"/>
                <w:szCs w:val="21"/>
                <w:lang w:val="en-US" w:eastAsia="zh-CN"/>
              </w:rPr>
            </w:pPr>
          </w:p>
          <w:p>
            <w:pPr>
              <w:ind w:firstLine="560" w:firstLineChars="200"/>
              <w:rPr>
                <w:rFonts w:hint="eastAsia" w:ascii="宋体" w:hAnsi="宋体" w:eastAsia="宋体" w:cs="宋体"/>
                <w:color w:val="auto"/>
                <w:sz w:val="21"/>
                <w:szCs w:val="21"/>
                <w:lang w:val="en-US" w:eastAsia="zh-CN"/>
              </w:rPr>
            </w:pPr>
          </w:p>
          <w:p>
            <w:pPr>
              <w:ind w:firstLine="560" w:firstLineChars="200"/>
              <w:rPr>
                <w:rFonts w:hint="eastAsia" w:ascii="宋体" w:hAnsi="宋体" w:eastAsia="宋体" w:cs="宋体"/>
                <w:color w:val="auto"/>
                <w:sz w:val="21"/>
                <w:szCs w:val="21"/>
                <w:lang w:val="en-US" w:eastAsia="zh-CN"/>
              </w:rPr>
            </w:pPr>
          </w:p>
          <w:p>
            <w:pPr>
              <w:ind w:firstLine="560" w:firstLineChars="200"/>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vAlign w:val="top"/>
          </w:tcPr>
          <w:p>
            <w:pPr>
              <w:rPr>
                <w:rFonts w:hint="eastAsia" w:ascii="方正黑体_GBK" w:hAnsi="方正黑体_GBK" w:eastAsia="方正黑体_GBK" w:cs="方正黑体_GBK"/>
                <w:color w:val="auto"/>
                <w:sz w:val="28"/>
                <w:szCs w:val="28"/>
                <w:highlight w:val="none"/>
                <w:vertAlign w:val="baseline"/>
                <w:lang w:val="en-US" w:eastAsia="zh-CN"/>
              </w:rPr>
            </w:pPr>
            <w:r>
              <w:rPr>
                <w:rFonts w:hint="eastAsia" w:ascii="方正黑体_GBK" w:hAnsi="方正黑体_GBK" w:eastAsia="方正黑体_GBK" w:cs="方正黑体_GBK"/>
                <w:color w:val="auto"/>
                <w:sz w:val="28"/>
                <w:szCs w:val="28"/>
                <w:highlight w:val="none"/>
                <w:vertAlign w:val="baseline"/>
                <w:lang w:val="en-US" w:eastAsia="zh-CN"/>
              </w:rPr>
              <w:t>5</w:t>
            </w:r>
          </w:p>
        </w:tc>
        <w:tc>
          <w:tcPr>
            <w:tcW w:w="2503" w:type="dxa"/>
            <w:vAlign w:val="top"/>
          </w:tcPr>
          <w:p>
            <w:pPr>
              <w:rPr>
                <w:rFonts w:hint="eastAsia" w:ascii="方正黑体_GBK" w:hAnsi="方正黑体_GBK" w:eastAsia="方正黑体_GBK" w:cs="方正黑体_GBK"/>
                <w:b/>
                <w:bCs/>
                <w:color w:val="auto"/>
                <w:sz w:val="28"/>
                <w:szCs w:val="28"/>
                <w:highlight w:val="none"/>
              </w:rPr>
            </w:pPr>
            <w:r>
              <w:rPr>
                <w:rFonts w:hint="eastAsia" w:ascii="方正黑体_GBK" w:hAnsi="方正黑体_GBK" w:eastAsia="方正黑体_GBK" w:cs="方正黑体_GBK"/>
                <w:b/>
                <w:bCs/>
                <w:color w:val="auto"/>
                <w:sz w:val="28"/>
                <w:szCs w:val="28"/>
                <w:highlight w:val="none"/>
              </w:rPr>
              <w:t>促进青年创新创业就业工作</w:t>
            </w:r>
          </w:p>
          <w:p>
            <w:pPr>
              <w:rPr>
                <w:rFonts w:hint="eastAsia" w:ascii="方正黑体_GBK" w:hAnsi="方正黑体_GBK" w:eastAsia="方正黑体_GBK" w:cs="方正黑体_GBK"/>
                <w:b/>
                <w:bCs/>
                <w:color w:val="auto"/>
                <w:sz w:val="28"/>
                <w:szCs w:val="28"/>
                <w:highlight w:val="none"/>
                <w:lang w:val="en-US" w:eastAsia="zh-CN"/>
              </w:rPr>
            </w:pPr>
          </w:p>
        </w:tc>
        <w:tc>
          <w:tcPr>
            <w:tcW w:w="6237" w:type="dxa"/>
            <w:vAlign w:val="top"/>
          </w:tcPr>
          <w:p>
            <w:pPr>
              <w:numPr>
                <w:ilvl w:val="0"/>
                <w:numId w:val="0"/>
              </w:numPr>
              <w:snapToGrid w:val="0"/>
              <w:ind w:firstLine="420" w:firstLineChars="200"/>
              <w:jc w:val="left"/>
              <w:rPr>
                <w:rFonts w:hint="eastAsia" w:ascii="宋体" w:hAnsi="宋体" w:eastAsia="宋体" w:cs="宋体"/>
                <w:color w:val="auto"/>
                <w:sz w:val="21"/>
                <w:szCs w:val="21"/>
              </w:rPr>
            </w:pPr>
            <w:r>
              <w:rPr>
                <w:rFonts w:hint="eastAsia" w:ascii="宋体" w:hAnsi="宋体" w:eastAsia="宋体" w:cs="宋体"/>
                <w:b/>
                <w:color w:val="auto"/>
                <w:sz w:val="21"/>
                <w:szCs w:val="21"/>
                <w:lang w:val="en-US" w:eastAsia="zh-CN"/>
              </w:rPr>
              <w:t>1.</w:t>
            </w:r>
            <w:r>
              <w:rPr>
                <w:rFonts w:hint="eastAsia" w:ascii="宋体" w:hAnsi="宋体" w:eastAsia="宋体" w:cs="宋体"/>
                <w:b/>
                <w:color w:val="auto"/>
                <w:sz w:val="21"/>
                <w:szCs w:val="21"/>
              </w:rPr>
              <w:t>大学生科技创新能力提升行动</w:t>
            </w:r>
            <w:r>
              <w:rPr>
                <w:rFonts w:hint="eastAsia" w:ascii="宋体" w:hAnsi="宋体" w:eastAsia="宋体" w:cs="宋体"/>
                <w:b/>
                <w:color w:val="auto"/>
                <w:sz w:val="21"/>
                <w:szCs w:val="21"/>
                <w:lang w:eastAsia="zh-CN"/>
              </w:rPr>
              <w:t>：</w:t>
            </w:r>
            <w:r>
              <w:rPr>
                <w:rFonts w:hint="eastAsia" w:ascii="宋体" w:hAnsi="宋体" w:eastAsia="宋体" w:cs="宋体"/>
                <w:color w:val="auto"/>
                <w:sz w:val="21"/>
                <w:szCs w:val="21"/>
              </w:rPr>
              <w:t>继续推进“青创100”广东大学生创新创业引领计划，发动高校团委、省内创新创业孵化器、广东粤科金融集团、广州股权交易中心、广东省青少年事业促进中心等单位通过线上新媒体宣传、线下张贴宣传海报等形式，覆盖省内符合遴选标准的优秀在校和毕业创业潜力股并鼓励其参与面试遴选，目前有接近两百名符合要求的候选学员报名，达到活动宣传和学员遴选的预期效果。</w:t>
            </w:r>
          </w:p>
          <w:p>
            <w:pPr>
              <w:numPr>
                <w:ilvl w:val="0"/>
                <w:numId w:val="0"/>
              </w:numPr>
              <w:snapToGrid w:val="0"/>
              <w:ind w:firstLine="420" w:firstLineChars="200"/>
              <w:jc w:val="left"/>
              <w:rPr>
                <w:rFonts w:hint="eastAsia" w:ascii="宋体" w:hAnsi="宋体" w:eastAsia="宋体" w:cs="宋体"/>
                <w:color w:val="auto"/>
                <w:sz w:val="21"/>
                <w:szCs w:val="21"/>
              </w:rPr>
            </w:pPr>
            <w:r>
              <w:rPr>
                <w:rFonts w:hint="eastAsia" w:ascii="宋体" w:hAnsi="宋体" w:eastAsia="宋体" w:cs="宋体"/>
                <w:b/>
                <w:color w:val="auto"/>
                <w:sz w:val="21"/>
                <w:szCs w:val="21"/>
                <w:lang w:val="en-US" w:eastAsia="zh-CN"/>
              </w:rPr>
              <w:t>2.</w:t>
            </w:r>
            <w:r>
              <w:rPr>
                <w:rFonts w:hint="eastAsia" w:ascii="宋体" w:hAnsi="宋体" w:eastAsia="宋体" w:cs="宋体"/>
                <w:b/>
                <w:color w:val="auto"/>
                <w:sz w:val="21"/>
                <w:szCs w:val="21"/>
              </w:rPr>
              <w:t>启航计划</w:t>
            </w:r>
            <w:r>
              <w:rPr>
                <w:rFonts w:hint="eastAsia" w:ascii="宋体" w:hAnsi="宋体" w:eastAsia="宋体" w:cs="宋体"/>
                <w:b/>
                <w:color w:val="auto"/>
                <w:sz w:val="21"/>
                <w:szCs w:val="21"/>
                <w:lang w:eastAsia="zh-CN"/>
              </w:rPr>
              <w:t>：</w:t>
            </w:r>
            <w:r>
              <w:rPr>
                <w:rFonts w:hint="eastAsia" w:ascii="宋体" w:hAnsi="宋体" w:eastAsia="宋体" w:cs="宋体"/>
                <w:color w:val="auto"/>
                <w:sz w:val="21"/>
                <w:szCs w:val="21"/>
              </w:rPr>
              <w:t>建立和完善青年创业孵化基地1个；新建和完善高校创业学院或创业协会（社团）2个；规范化建设青年就业创业导师团队（导师团成员数）11人；培育孵化青年小微企业19个；培训创业就业青年0.33万人；线上线下结合辅导创业青年2.7万人次。</w:t>
            </w:r>
          </w:p>
          <w:p>
            <w:pPr>
              <w:numPr>
                <w:ilvl w:val="0"/>
                <w:numId w:val="0"/>
              </w:numPr>
              <w:snapToGrid w:val="0"/>
              <w:ind w:firstLine="420" w:firstLineChars="200"/>
              <w:jc w:val="left"/>
              <w:rPr>
                <w:rFonts w:hint="eastAsia" w:ascii="宋体" w:hAnsi="宋体" w:eastAsia="宋体" w:cs="宋体"/>
                <w:color w:val="auto"/>
                <w:sz w:val="21"/>
                <w:szCs w:val="21"/>
                <w:lang w:val="zh-CN"/>
              </w:rPr>
            </w:pPr>
            <w:r>
              <w:rPr>
                <w:rFonts w:hint="eastAsia" w:ascii="宋体" w:hAnsi="宋体" w:eastAsia="宋体" w:cs="宋体"/>
                <w:b/>
                <w:bCs/>
                <w:color w:val="auto"/>
                <w:sz w:val="21"/>
                <w:szCs w:val="21"/>
                <w:lang w:val="en-US" w:eastAsia="zh-CN"/>
              </w:rPr>
              <w:t>3.</w:t>
            </w:r>
            <w:r>
              <w:rPr>
                <w:rFonts w:hint="eastAsia" w:ascii="宋体" w:hAnsi="宋体" w:eastAsia="宋体" w:cs="宋体"/>
                <w:b/>
                <w:bCs/>
                <w:color w:val="auto"/>
                <w:sz w:val="21"/>
                <w:szCs w:val="21"/>
                <w:lang w:val="zh-CN"/>
              </w:rPr>
              <w:t>“领头雁”培养计划：</w:t>
            </w:r>
            <w:r>
              <w:rPr>
                <w:rFonts w:hint="eastAsia" w:ascii="宋体" w:hAnsi="宋体" w:eastAsia="宋体" w:cs="宋体"/>
                <w:color w:val="auto"/>
                <w:sz w:val="21"/>
                <w:szCs w:val="21"/>
                <w:lang w:val="zh-CN"/>
              </w:rPr>
              <w:t>联合广东银监局发文团粤办联发【2015】10号，在全省创建农村青年金融服务站。</w:t>
            </w:r>
          </w:p>
          <w:p>
            <w:pPr>
              <w:numPr>
                <w:ilvl w:val="0"/>
                <w:numId w:val="0"/>
              </w:numPr>
              <w:snapToGrid w:val="0"/>
              <w:ind w:firstLine="420" w:firstLineChars="200"/>
              <w:jc w:val="left"/>
              <w:rPr>
                <w:rFonts w:hint="eastAsia" w:ascii="宋体" w:hAnsi="宋体" w:eastAsia="宋体" w:cs="宋体"/>
                <w:color w:val="auto"/>
                <w:sz w:val="21"/>
                <w:szCs w:val="21"/>
                <w:lang w:val="zh-CN"/>
              </w:rPr>
            </w:pPr>
            <w:r>
              <w:rPr>
                <w:rFonts w:hint="eastAsia" w:ascii="宋体" w:hAnsi="宋体" w:eastAsia="宋体" w:cs="宋体"/>
                <w:b/>
                <w:bCs/>
                <w:color w:val="auto"/>
                <w:sz w:val="21"/>
                <w:szCs w:val="21"/>
                <w:lang w:val="en-US" w:eastAsia="zh-CN"/>
              </w:rPr>
              <w:t>4.</w:t>
            </w:r>
            <w:r>
              <w:rPr>
                <w:rFonts w:hint="eastAsia" w:ascii="宋体" w:hAnsi="宋体" w:eastAsia="宋体" w:cs="宋体"/>
                <w:b/>
                <w:bCs/>
                <w:color w:val="auto"/>
                <w:sz w:val="21"/>
                <w:szCs w:val="21"/>
                <w:lang w:val="zh-CN"/>
              </w:rPr>
              <w:t>“邮储银行杯”广东省创新创业创富大赛决赛：</w:t>
            </w:r>
            <w:r>
              <w:rPr>
                <w:rFonts w:hint="eastAsia" w:ascii="宋体" w:hAnsi="宋体" w:eastAsia="宋体" w:cs="宋体"/>
                <w:color w:val="auto"/>
                <w:sz w:val="21"/>
                <w:szCs w:val="21"/>
                <w:lang w:val="zh-CN"/>
              </w:rPr>
              <w:t>与省商务厅、省农业厅、省人社厅联合发文（粤人社函【2015】2235号）举办2015年“邮储银行杯”广东省创新创业创富大赛决赛。</w:t>
            </w:r>
          </w:p>
          <w:p>
            <w:pPr>
              <w:numPr>
                <w:ilvl w:val="0"/>
                <w:numId w:val="0"/>
              </w:numPr>
              <w:snapToGrid w:val="0"/>
              <w:ind w:firstLine="420" w:firstLineChars="200"/>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lang w:val="en-US" w:eastAsia="zh-CN"/>
              </w:rPr>
              <w:t>5.</w:t>
            </w:r>
            <w:r>
              <w:rPr>
                <w:rFonts w:hint="eastAsia" w:ascii="宋体" w:hAnsi="宋体" w:eastAsia="宋体" w:cs="宋体"/>
                <w:b/>
                <w:color w:val="auto"/>
                <w:sz w:val="21"/>
                <w:szCs w:val="21"/>
              </w:rPr>
              <w:t>“挑战杯”竞赛：</w:t>
            </w:r>
            <w:r>
              <w:rPr>
                <w:rFonts w:hint="eastAsia" w:ascii="宋体" w:hAnsi="宋体" w:eastAsia="宋体" w:cs="宋体"/>
                <w:color w:val="auto"/>
                <w:sz w:val="21"/>
                <w:szCs w:val="21"/>
              </w:rPr>
              <w:t>积极配合团中央，联系指导广东省内终审决赛参赛高校进行会务系统申报工作，落实参赛参赛高校作品展示、后勤保障、成果交易等具体赛务；做好第十四届“挑战杯”国赛省级优秀组织奖申报及国际大学生创新创业峰会赴港人员安排；进行“挑战蓝”骑跑宣传行动暨终审决赛倒计时30天誓师仪式</w:t>
            </w:r>
            <w:r>
              <w:rPr>
                <w:rFonts w:hint="eastAsia" w:ascii="宋体" w:hAnsi="宋体" w:eastAsia="宋体" w:cs="宋体"/>
                <w:color w:val="auto"/>
                <w:sz w:val="21"/>
                <w:szCs w:val="21"/>
                <w:lang w:eastAsia="zh-CN"/>
              </w:rPr>
              <w:t>。</w:t>
            </w:r>
          </w:p>
        </w:tc>
        <w:tc>
          <w:tcPr>
            <w:tcW w:w="4065" w:type="dxa"/>
            <w:vAlign w:val="top"/>
          </w:tcPr>
          <w:p>
            <w:pPr>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继续推进“青创100”广东大学生创新创业引领计划候选学员面试及录取工作，并对“青创100”引领计划保持宣传热度，形成合力做好“青创100”开班仪式及广东创新创业学院挂牌仪式，继续营造青年大学生投身创新驱动发展战略生动实践的良好氛围。</w:t>
            </w:r>
          </w:p>
          <w:p>
            <w:pPr>
              <w:ind w:firstLine="420" w:firstLineChars="200"/>
              <w:jc w:val="left"/>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vAlign w:val="top"/>
          </w:tcPr>
          <w:p>
            <w:pPr>
              <w:rPr>
                <w:rFonts w:hint="eastAsia" w:ascii="方正黑体_GBK" w:hAnsi="方正黑体_GBK" w:eastAsia="方正黑体_GBK" w:cs="方正黑体_GBK"/>
                <w:color w:val="auto"/>
                <w:sz w:val="28"/>
                <w:szCs w:val="28"/>
                <w:highlight w:val="none"/>
                <w:vertAlign w:val="baseline"/>
                <w:lang w:val="en-US" w:eastAsia="zh-CN"/>
              </w:rPr>
            </w:pPr>
            <w:r>
              <w:rPr>
                <w:rFonts w:hint="eastAsia" w:ascii="方正黑体_GBK" w:hAnsi="方正黑体_GBK" w:eastAsia="方正黑体_GBK" w:cs="方正黑体_GBK"/>
                <w:color w:val="auto"/>
                <w:sz w:val="28"/>
                <w:szCs w:val="28"/>
                <w:highlight w:val="none"/>
                <w:vertAlign w:val="baseline"/>
                <w:lang w:val="en-US" w:eastAsia="zh-CN"/>
              </w:rPr>
              <w:t>6</w:t>
            </w:r>
          </w:p>
        </w:tc>
        <w:tc>
          <w:tcPr>
            <w:tcW w:w="2503" w:type="dxa"/>
            <w:vAlign w:val="top"/>
          </w:tcPr>
          <w:p>
            <w:pPr>
              <w:spacing w:line="560" w:lineRule="exact"/>
              <w:rPr>
                <w:rFonts w:hint="eastAsia" w:ascii="方正黑体_GBK" w:hAnsi="方正黑体_GBK" w:eastAsia="方正黑体_GBK" w:cs="方正黑体_GBK"/>
                <w:b/>
                <w:bCs/>
                <w:color w:val="auto"/>
                <w:sz w:val="28"/>
                <w:szCs w:val="28"/>
                <w:highlight w:val="none"/>
              </w:rPr>
            </w:pPr>
            <w:r>
              <w:rPr>
                <w:rFonts w:hint="eastAsia" w:ascii="方正黑体_GBK" w:hAnsi="方正黑体_GBK" w:eastAsia="方正黑体_GBK" w:cs="方正黑体_GBK"/>
                <w:b/>
                <w:bCs/>
                <w:color w:val="auto"/>
                <w:sz w:val="28"/>
                <w:szCs w:val="28"/>
                <w:highlight w:val="none"/>
              </w:rPr>
              <w:t>青年马克思主义者培养工程</w:t>
            </w:r>
          </w:p>
          <w:p>
            <w:pPr>
              <w:spacing w:line="560" w:lineRule="exact"/>
              <w:rPr>
                <w:rFonts w:hint="eastAsia" w:ascii="方正黑体_GBK" w:hAnsi="方正黑体_GBK" w:eastAsia="方正黑体_GBK" w:cs="方正黑体_GBK"/>
                <w:b/>
                <w:bCs/>
                <w:color w:val="auto"/>
                <w:sz w:val="28"/>
                <w:szCs w:val="28"/>
                <w:highlight w:val="none"/>
                <w:lang w:val="en-US" w:eastAsia="zh-CN"/>
              </w:rPr>
            </w:pPr>
          </w:p>
        </w:tc>
        <w:tc>
          <w:tcPr>
            <w:tcW w:w="6237" w:type="dxa"/>
            <w:vAlign w:val="top"/>
          </w:tcPr>
          <w:p>
            <w:pPr>
              <w:numPr>
                <w:ilvl w:val="0"/>
                <w:numId w:val="0"/>
              </w:numPr>
              <w:ind w:firstLine="420" w:firstLineChars="200"/>
              <w:rPr>
                <w:rFonts w:hint="eastAsia" w:ascii="宋体" w:hAnsi="宋体" w:eastAsia="宋体" w:cs="宋体"/>
                <w:color w:val="auto"/>
                <w:sz w:val="21"/>
                <w:szCs w:val="21"/>
              </w:rPr>
            </w:pPr>
            <w:r>
              <w:rPr>
                <w:rFonts w:hint="eastAsia" w:ascii="宋体" w:hAnsi="宋体" w:eastAsia="宋体" w:cs="宋体"/>
                <w:b w:val="0"/>
                <w:bCs w:val="0"/>
                <w:color w:val="auto"/>
                <w:sz w:val="21"/>
                <w:szCs w:val="21"/>
                <w:highlight w:val="none"/>
                <w:vertAlign w:val="baseline"/>
                <w:lang w:val="en-US" w:eastAsia="zh-CN"/>
              </w:rPr>
              <w:t>1.</w:t>
            </w:r>
            <w:r>
              <w:rPr>
                <w:rFonts w:hint="eastAsia" w:ascii="宋体" w:hAnsi="宋体" w:eastAsia="宋体" w:cs="宋体"/>
                <w:color w:val="auto"/>
                <w:sz w:val="21"/>
                <w:szCs w:val="21"/>
              </w:rPr>
              <w:t>下发《关于组织开展2015年度寻访“中国大学生自强之星”活动人选的通知》</w:t>
            </w:r>
            <w:r>
              <w:rPr>
                <w:rFonts w:hint="eastAsia" w:ascii="宋体" w:hAnsi="宋体" w:eastAsia="宋体" w:cs="宋体"/>
                <w:color w:val="auto"/>
                <w:sz w:val="21"/>
                <w:szCs w:val="21"/>
                <w:lang w:eastAsia="zh-CN"/>
              </w:rPr>
              <w:t>。</w:t>
            </w:r>
          </w:p>
          <w:p>
            <w:pPr>
              <w:numPr>
                <w:ilvl w:val="0"/>
                <w:numId w:val="0"/>
              </w:numPr>
              <w:ind w:firstLine="420" w:firstLineChars="200"/>
              <w:rPr>
                <w:rFonts w:hint="eastAsia" w:ascii="宋体" w:hAnsi="宋体" w:eastAsia="宋体" w:cs="宋体"/>
                <w:color w:val="auto"/>
                <w:sz w:val="21"/>
                <w:szCs w:val="21"/>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在</w:t>
            </w:r>
            <w:r>
              <w:rPr>
                <w:rFonts w:hint="eastAsia" w:ascii="宋体" w:hAnsi="宋体" w:eastAsia="宋体" w:cs="宋体"/>
                <w:color w:val="auto"/>
                <w:sz w:val="21"/>
                <w:szCs w:val="21"/>
              </w:rPr>
              <w:t>“青马工程”手机APP软件“爱马士”上开展社会核心价值观主题宣传月的心得交流活动。</w:t>
            </w:r>
          </w:p>
          <w:p>
            <w:pPr>
              <w:numPr>
                <w:ilvl w:val="0"/>
                <w:numId w:val="0"/>
              </w:numPr>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rPr>
              <w:t>转发《关于推荐学员参加2015年第二期全国中职学校团委书记培训班的通知》</w:t>
            </w:r>
          </w:p>
        </w:tc>
        <w:tc>
          <w:tcPr>
            <w:tcW w:w="4065" w:type="dxa"/>
            <w:vAlign w:val="top"/>
          </w:tcPr>
          <w:p>
            <w:pPr>
              <w:adjustRightInd w:val="0"/>
              <w:snapToGrid w:val="0"/>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1.进一步推动各高校的“青马工程”进院系的工作</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收集各高校开展“青马工程”的先进经验和做法</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升级完善“青马工程”手机APP软件“爱马士”。</w:t>
            </w:r>
          </w:p>
          <w:p>
            <w:pPr>
              <w:adjustRightInd w:val="0"/>
              <w:snapToGrid w:val="0"/>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kern w:val="2"/>
                <w:sz w:val="21"/>
                <w:szCs w:val="21"/>
              </w:rPr>
              <w:t>加强对青年教师的培训指导。</w:t>
            </w:r>
          </w:p>
          <w:p>
            <w:pPr>
              <w:rPr>
                <w:rFonts w:hint="eastAsia" w:ascii="宋体" w:hAnsi="宋体" w:eastAsia="宋体" w:cs="宋体"/>
                <w:color w:val="auto"/>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5" w:type="dxa"/>
            <w:vAlign w:val="top"/>
          </w:tcPr>
          <w:p>
            <w:pPr>
              <w:rPr>
                <w:rFonts w:hint="eastAsia" w:ascii="方正黑体_GBK" w:hAnsi="方正黑体_GBK" w:eastAsia="方正黑体_GBK" w:cs="方正黑体_GBK"/>
                <w:color w:val="auto"/>
                <w:sz w:val="28"/>
                <w:szCs w:val="28"/>
                <w:highlight w:val="none"/>
                <w:vertAlign w:val="baseline"/>
                <w:lang w:val="en-US" w:eastAsia="zh-CN"/>
              </w:rPr>
            </w:pPr>
            <w:r>
              <w:rPr>
                <w:rFonts w:hint="eastAsia" w:ascii="方正黑体_GBK" w:hAnsi="方正黑体_GBK" w:eastAsia="方正黑体_GBK" w:cs="方正黑体_GBK"/>
                <w:color w:val="auto"/>
                <w:sz w:val="28"/>
                <w:szCs w:val="28"/>
                <w:highlight w:val="none"/>
                <w:vertAlign w:val="baseline"/>
                <w:lang w:val="en-US" w:eastAsia="zh-CN"/>
              </w:rPr>
              <w:t>7</w:t>
            </w:r>
          </w:p>
        </w:tc>
        <w:tc>
          <w:tcPr>
            <w:tcW w:w="2503" w:type="dxa"/>
            <w:vAlign w:val="top"/>
          </w:tcPr>
          <w:p>
            <w:pPr>
              <w:spacing w:line="560" w:lineRule="exact"/>
              <w:rPr>
                <w:rFonts w:hint="eastAsia" w:ascii="方正黑体_GBK" w:hAnsi="方正黑体_GBK" w:eastAsia="方正黑体_GBK" w:cs="方正黑体_GBK"/>
                <w:b/>
                <w:bCs/>
                <w:color w:val="auto"/>
                <w:sz w:val="28"/>
                <w:szCs w:val="28"/>
                <w:highlight w:val="none"/>
              </w:rPr>
            </w:pPr>
            <w:r>
              <w:rPr>
                <w:rFonts w:hint="eastAsia" w:ascii="方正黑体_GBK" w:hAnsi="方正黑体_GBK" w:eastAsia="方正黑体_GBK" w:cs="方正黑体_GBK"/>
                <w:b/>
                <w:bCs/>
                <w:color w:val="auto"/>
                <w:sz w:val="28"/>
                <w:szCs w:val="28"/>
                <w:highlight w:val="none"/>
              </w:rPr>
              <w:t>中学（中职）共青团工作</w:t>
            </w:r>
          </w:p>
          <w:p>
            <w:pPr>
              <w:spacing w:line="560" w:lineRule="exact"/>
              <w:rPr>
                <w:rFonts w:hint="eastAsia" w:ascii="方正黑体_GBK" w:hAnsi="方正黑体_GBK" w:eastAsia="方正黑体_GBK" w:cs="方正黑体_GBK"/>
                <w:color w:val="auto"/>
                <w:sz w:val="28"/>
                <w:szCs w:val="28"/>
                <w:highlight w:val="none"/>
                <w:vertAlign w:val="baseline"/>
                <w:lang w:val="en-US" w:eastAsia="zh-CN"/>
              </w:rPr>
            </w:pPr>
          </w:p>
        </w:tc>
        <w:tc>
          <w:tcPr>
            <w:tcW w:w="6237" w:type="dxa"/>
            <w:vAlign w:val="top"/>
          </w:tcPr>
          <w:p>
            <w:pPr>
              <w:numPr>
                <w:ilvl w:val="0"/>
                <w:numId w:val="0"/>
              </w:numPr>
              <w:ind w:firstLine="420" w:firstLineChars="200"/>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highlight w:val="none"/>
                <w:lang w:val="en-US" w:eastAsia="zh-CN"/>
              </w:rPr>
              <w:t>1.中学共青团。</w:t>
            </w:r>
            <w:r>
              <w:rPr>
                <w:rFonts w:hint="eastAsia" w:ascii="宋体" w:hAnsi="宋体" w:eastAsia="宋体" w:cs="宋体"/>
                <w:b w:val="0"/>
                <w:bCs w:val="0"/>
                <w:color w:val="auto"/>
                <w:sz w:val="21"/>
                <w:szCs w:val="21"/>
              </w:rPr>
              <w:t>拟推荐15名“最美中职生”候选人参加全国评选活动，其中拟推荐广州市工贸技师学院的谭伟创为“最美中职生标兵”候选人。</w:t>
            </w:r>
          </w:p>
          <w:p>
            <w:pPr>
              <w:numPr>
                <w:ilvl w:val="0"/>
                <w:numId w:val="0"/>
              </w:numPr>
              <w:ind w:firstLine="420" w:firstLineChars="200"/>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中职共青团。进一步落实《关于加强中学共青团工作的意见》，年底将初中、高中阶段毕业班团青比严格控制在45%、85%以下；加强省、市级中学共青团重点联系学校制度建设，加强对重点联系学校的直接联系和指导。</w:t>
            </w:r>
          </w:p>
          <w:p>
            <w:pPr>
              <w:numPr>
                <w:ilvl w:val="0"/>
                <w:numId w:val="0"/>
              </w:numPr>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b w:val="0"/>
                <w:bCs w:val="0"/>
                <w:color w:val="auto"/>
                <w:sz w:val="21"/>
                <w:szCs w:val="21"/>
                <w:lang w:val="en-US" w:eastAsia="zh-CN"/>
              </w:rPr>
              <w:t>3.促各地市部署</w:t>
            </w:r>
            <w:r>
              <w:rPr>
                <w:rFonts w:hint="eastAsia" w:ascii="宋体" w:hAnsi="宋体" w:eastAsia="宋体" w:cs="宋体"/>
                <w:color w:val="auto"/>
                <w:sz w:val="21"/>
                <w:szCs w:val="21"/>
                <w:lang w:val="en-US" w:eastAsia="zh-CN"/>
              </w:rPr>
              <w:t>开展“与人生对话-我的中国梦”主题教育活动，举行2015年粤港澳中学生模拟联合国大会闭幕式暨“18岁成人礼”活动。</w:t>
            </w:r>
          </w:p>
          <w:p>
            <w:pPr>
              <w:numPr>
                <w:ilvl w:val="0"/>
                <w:numId w:val="0"/>
              </w:numPr>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lang w:val="en-US" w:eastAsia="zh-CN"/>
              </w:rPr>
              <w:t>4.</w:t>
            </w:r>
            <w:r>
              <w:rPr>
                <w:rFonts w:hint="eastAsia" w:ascii="宋体" w:hAnsi="宋体" w:eastAsia="宋体" w:cs="宋体"/>
                <w:color w:val="auto"/>
                <w:sz w:val="21"/>
                <w:szCs w:val="21"/>
              </w:rPr>
              <w:t>安排10名中职（技工）学校团委书记前往井冈山培训。</w:t>
            </w:r>
          </w:p>
        </w:tc>
        <w:tc>
          <w:tcPr>
            <w:tcW w:w="4065" w:type="dxa"/>
            <w:vAlign w:val="top"/>
          </w:tcPr>
          <w:p>
            <w:pPr>
              <w:numPr>
                <w:ilvl w:val="0"/>
                <w:numId w:val="0"/>
              </w:num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中国青少年科技创新奖励基金拟于2015年11月-2016年6月开展支持50个地市级团委面向中学生（含中职生）开展50项科技创新示范竞赛项目，团省委根据分配名额（3个名额）择优推荐。</w:t>
            </w:r>
          </w:p>
          <w:p>
            <w:pPr>
              <w:numPr>
                <w:ilvl w:val="0"/>
                <w:numId w:val="0"/>
              </w:numPr>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2.落实《关于加强中学共青团工作的意见》情况，开展全省中学团委书记培训班。</w:t>
            </w:r>
          </w:p>
          <w:p>
            <w:pPr>
              <w:numPr>
                <w:ilvl w:val="0"/>
                <w:numId w:val="0"/>
              </w:numPr>
              <w:ind w:firstLine="420" w:firstLineChars="200"/>
              <w:rPr>
                <w:rFonts w:hint="eastAsia" w:ascii="宋体" w:hAnsi="宋体" w:eastAsia="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vAlign w:val="top"/>
          </w:tcPr>
          <w:p>
            <w:pPr>
              <w:rPr>
                <w:rFonts w:hint="eastAsia" w:ascii="方正黑体_GBK" w:hAnsi="方正黑体_GBK" w:eastAsia="方正黑体_GBK" w:cs="方正黑体_GBK"/>
                <w:color w:val="auto"/>
                <w:sz w:val="28"/>
                <w:szCs w:val="28"/>
                <w:highlight w:val="none"/>
                <w:vertAlign w:val="baseline"/>
                <w:lang w:val="en-US" w:eastAsia="zh-CN"/>
              </w:rPr>
            </w:pPr>
            <w:r>
              <w:rPr>
                <w:rFonts w:hint="eastAsia" w:ascii="方正黑体_GBK" w:hAnsi="方正黑体_GBK" w:eastAsia="方正黑体_GBK" w:cs="方正黑体_GBK"/>
                <w:color w:val="auto"/>
                <w:sz w:val="28"/>
                <w:szCs w:val="28"/>
                <w:highlight w:val="none"/>
                <w:vertAlign w:val="baseline"/>
                <w:lang w:val="en-US" w:eastAsia="zh-CN"/>
              </w:rPr>
              <w:t>8</w:t>
            </w:r>
          </w:p>
        </w:tc>
        <w:tc>
          <w:tcPr>
            <w:tcW w:w="2503" w:type="dxa"/>
            <w:vAlign w:val="top"/>
          </w:tcPr>
          <w:p>
            <w:pPr>
              <w:rPr>
                <w:rFonts w:hint="eastAsia" w:ascii="方正黑体_GBK" w:hAnsi="方正黑体_GBK" w:eastAsia="方正黑体_GBK" w:cs="方正黑体_GBK"/>
                <w:b/>
                <w:bCs/>
                <w:color w:val="auto"/>
                <w:sz w:val="28"/>
                <w:szCs w:val="28"/>
                <w:highlight w:val="none"/>
              </w:rPr>
            </w:pPr>
            <w:r>
              <w:rPr>
                <w:rFonts w:hint="eastAsia" w:ascii="方正黑体_GBK" w:hAnsi="方正黑体_GBK" w:eastAsia="方正黑体_GBK" w:cs="方正黑体_GBK"/>
                <w:b/>
                <w:bCs/>
                <w:color w:val="auto"/>
                <w:sz w:val="28"/>
                <w:szCs w:val="28"/>
                <w:highlight w:val="none"/>
              </w:rPr>
              <w:t>少先队专业化建设工作</w:t>
            </w:r>
          </w:p>
          <w:p>
            <w:pPr>
              <w:rPr>
                <w:rFonts w:hint="eastAsia" w:ascii="方正黑体_GBK" w:hAnsi="方正黑体_GBK" w:eastAsia="方正黑体_GBK" w:cs="方正黑体_GBK"/>
                <w:color w:val="auto"/>
                <w:sz w:val="28"/>
                <w:szCs w:val="28"/>
                <w:highlight w:val="none"/>
                <w:vertAlign w:val="baseline"/>
                <w:lang w:val="en-US" w:eastAsia="zh-CN"/>
              </w:rPr>
            </w:pPr>
          </w:p>
        </w:tc>
        <w:tc>
          <w:tcPr>
            <w:tcW w:w="6237" w:type="dxa"/>
            <w:vAlign w:val="top"/>
          </w:tcPr>
          <w:p>
            <w:pPr>
              <w:numPr>
                <w:ilvl w:val="0"/>
                <w:numId w:val="4"/>
              </w:numPr>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印发《团粤联发〔2015〕71号 关于表彰2014-2015年度广东省少先队先进集体、个人的决定》《粤少办发〔2015〕18号 关于公布第八届“飞扬的红领巾”广东少先队队日竞赛活动第一赛季获奖名单的通知》。</w:t>
            </w:r>
          </w:p>
          <w:p>
            <w:pPr>
              <w:numPr>
                <w:ilvl w:val="0"/>
                <w:numId w:val="4"/>
              </w:numPr>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lang w:val="en-US" w:eastAsia="zh-CN"/>
              </w:rPr>
              <w:t>举行“立志立德 向上向善”——广东省少先队纪念建队66周年主题队日活动、“鼓号奏响中国梦”汕头市2015年少先队鼓号队会操表演。</w:t>
            </w:r>
          </w:p>
        </w:tc>
        <w:tc>
          <w:tcPr>
            <w:tcW w:w="4065" w:type="dxa"/>
            <w:vAlign w:val="top"/>
          </w:tcPr>
          <w:p>
            <w:pPr>
              <w:numPr>
                <w:ilvl w:val="0"/>
                <w:numId w:val="0"/>
              </w:num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 xml:space="preserve">    贯彻落实省委《关于进一步加强少年儿童和少先队工作的意见》情况，少先队辅导员队伍建设、少先队活动课程建设、课外活动落实、相关主题活动开展情况。</w:t>
            </w:r>
          </w:p>
          <w:p>
            <w:pPr>
              <w:numPr>
                <w:ilvl w:val="0"/>
                <w:numId w:val="0"/>
              </w:numPr>
              <w:rPr>
                <w:rFonts w:hint="eastAsia" w:ascii="宋体" w:hAnsi="宋体" w:eastAsia="宋体" w:cs="宋体"/>
                <w:b w:val="0"/>
                <w:bCs w:val="0"/>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vAlign w:val="top"/>
          </w:tcPr>
          <w:p>
            <w:pPr>
              <w:rPr>
                <w:rFonts w:hint="eastAsia" w:ascii="方正黑体_GBK" w:hAnsi="方正黑体_GBK" w:eastAsia="方正黑体_GBK" w:cs="方正黑体_GBK"/>
                <w:color w:val="auto"/>
                <w:sz w:val="28"/>
                <w:szCs w:val="28"/>
                <w:highlight w:val="none"/>
                <w:vertAlign w:val="baseline"/>
                <w:lang w:val="en-US" w:eastAsia="zh-CN"/>
              </w:rPr>
            </w:pPr>
            <w:r>
              <w:rPr>
                <w:rFonts w:hint="eastAsia" w:ascii="方正黑体_GBK" w:hAnsi="方正黑体_GBK" w:eastAsia="方正黑体_GBK" w:cs="方正黑体_GBK"/>
                <w:color w:val="auto"/>
                <w:sz w:val="28"/>
                <w:szCs w:val="28"/>
                <w:highlight w:val="none"/>
                <w:vertAlign w:val="baseline"/>
                <w:lang w:val="en-US" w:eastAsia="zh-CN"/>
              </w:rPr>
              <w:t>9</w:t>
            </w:r>
          </w:p>
        </w:tc>
        <w:tc>
          <w:tcPr>
            <w:tcW w:w="2503" w:type="dxa"/>
            <w:vAlign w:val="top"/>
          </w:tcPr>
          <w:p>
            <w:pPr>
              <w:rPr>
                <w:rFonts w:hint="eastAsia" w:ascii="方正黑体_GBK" w:hAnsi="方正黑体_GBK" w:eastAsia="方正黑体_GBK" w:cs="方正黑体_GBK"/>
                <w:b/>
                <w:bCs/>
                <w:color w:val="auto"/>
                <w:sz w:val="28"/>
                <w:szCs w:val="28"/>
                <w:highlight w:val="none"/>
              </w:rPr>
            </w:pPr>
            <w:r>
              <w:rPr>
                <w:rFonts w:hint="eastAsia" w:ascii="方正黑体_GBK" w:hAnsi="方正黑体_GBK" w:eastAsia="方正黑体_GBK" w:cs="方正黑体_GBK"/>
                <w:b/>
                <w:bCs/>
                <w:color w:val="auto"/>
                <w:sz w:val="28"/>
                <w:szCs w:val="28"/>
                <w:highlight w:val="none"/>
              </w:rPr>
              <w:t>两新组织和新兴领域青年工作</w:t>
            </w:r>
          </w:p>
          <w:p>
            <w:pPr>
              <w:rPr>
                <w:rFonts w:hint="eastAsia" w:ascii="方正黑体_GBK" w:hAnsi="方正黑体_GBK" w:eastAsia="方正黑体_GBK" w:cs="方正黑体_GBK"/>
                <w:b/>
                <w:bCs/>
                <w:color w:val="auto"/>
                <w:sz w:val="28"/>
                <w:szCs w:val="28"/>
                <w:highlight w:val="none"/>
                <w:lang w:val="en-US" w:eastAsia="zh-CN"/>
              </w:rPr>
            </w:pPr>
          </w:p>
        </w:tc>
        <w:tc>
          <w:tcPr>
            <w:tcW w:w="6237" w:type="dxa"/>
            <w:vAlign w:val="top"/>
          </w:tcPr>
          <w:p>
            <w:pPr>
              <w:numPr>
                <w:ilvl w:val="0"/>
                <w:numId w:val="5"/>
              </w:num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vertAlign w:val="baseline"/>
                <w:lang w:val="en-US" w:eastAsia="zh-CN"/>
              </w:rPr>
              <w:t>开展亲青家园星级评定体系调研活动，编写亲青家园星级评定调查问卷，拟向基层亲青家园组织开展摸底调查；10月18-24日赴台湾开展的广东省亲青领袖研习班。</w:t>
            </w:r>
          </w:p>
          <w:p>
            <w:pPr>
              <w:numPr>
                <w:ilvl w:val="0"/>
                <w:numId w:val="5"/>
              </w:numPr>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lang w:val="zh-CN" w:eastAsia="zh-CN"/>
              </w:rPr>
              <w:t>已成立互联网行业团工委6个，互联网行业共青团工作指导和推进委员会（团指委）105个；已成立团组织的地区、园区有130个，互联网企业数量550个；已建立青年社团的互联网企业数量300个，青年社团316个；已建立青年工作委员会的互联网企业有26个。</w:t>
            </w:r>
          </w:p>
        </w:tc>
        <w:tc>
          <w:tcPr>
            <w:tcW w:w="4065" w:type="dxa"/>
            <w:vAlign w:val="top"/>
          </w:tcPr>
          <w:p>
            <w:pPr>
              <w:numPr>
                <w:ilvl w:val="0"/>
                <w:numId w:val="0"/>
              </w:num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vertAlign w:val="baseline"/>
                <w:lang w:val="en-US" w:eastAsia="zh-CN"/>
              </w:rPr>
              <w:t xml:space="preserve">   下沉基层调研亲青家园组织。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05" w:type="dxa"/>
            <w:vAlign w:val="top"/>
          </w:tcPr>
          <w:p>
            <w:pPr>
              <w:rPr>
                <w:rFonts w:hint="eastAsia" w:ascii="方正黑体_GBK" w:hAnsi="方正黑体_GBK" w:eastAsia="方正黑体_GBK" w:cs="方正黑体_GBK"/>
                <w:color w:val="auto"/>
                <w:sz w:val="28"/>
                <w:szCs w:val="28"/>
                <w:highlight w:val="none"/>
                <w:vertAlign w:val="baseline"/>
                <w:lang w:val="en-US" w:eastAsia="zh-CN"/>
              </w:rPr>
            </w:pPr>
            <w:r>
              <w:rPr>
                <w:rFonts w:hint="eastAsia" w:ascii="方正黑体_GBK" w:hAnsi="方正黑体_GBK" w:eastAsia="方正黑体_GBK" w:cs="方正黑体_GBK"/>
                <w:color w:val="auto"/>
                <w:sz w:val="28"/>
                <w:szCs w:val="28"/>
                <w:highlight w:val="none"/>
                <w:vertAlign w:val="baseline"/>
                <w:lang w:val="en-US" w:eastAsia="zh-CN"/>
              </w:rPr>
              <w:t>10</w:t>
            </w:r>
          </w:p>
        </w:tc>
        <w:tc>
          <w:tcPr>
            <w:tcW w:w="2503" w:type="dxa"/>
            <w:vAlign w:val="top"/>
          </w:tcPr>
          <w:p>
            <w:pPr>
              <w:spacing w:line="560" w:lineRule="exact"/>
              <w:rPr>
                <w:rFonts w:hint="eastAsia" w:ascii="方正黑体_GBK" w:hAnsi="方正黑体_GBK" w:eastAsia="方正黑体_GBK" w:cs="方正黑体_GBK"/>
                <w:b/>
                <w:bCs/>
                <w:color w:val="auto"/>
                <w:sz w:val="28"/>
                <w:szCs w:val="28"/>
                <w:highlight w:val="none"/>
              </w:rPr>
            </w:pPr>
            <w:r>
              <w:rPr>
                <w:rFonts w:hint="eastAsia" w:ascii="方正黑体_GBK" w:hAnsi="方正黑体_GBK" w:eastAsia="方正黑体_GBK" w:cs="方正黑体_GBK"/>
                <w:b/>
                <w:bCs/>
                <w:color w:val="auto"/>
                <w:sz w:val="28"/>
                <w:szCs w:val="28"/>
                <w:highlight w:val="none"/>
              </w:rPr>
              <w:t>青少年民族团结进步创建和对口支援工作</w:t>
            </w:r>
          </w:p>
          <w:p>
            <w:pPr>
              <w:spacing w:line="560" w:lineRule="exact"/>
              <w:rPr>
                <w:rFonts w:hint="eastAsia" w:ascii="方正黑体_GBK" w:hAnsi="方正黑体_GBK" w:eastAsia="方正黑体_GBK" w:cs="方正黑体_GBK"/>
                <w:b/>
                <w:bCs/>
                <w:color w:val="auto"/>
                <w:sz w:val="28"/>
                <w:szCs w:val="28"/>
                <w:highlight w:val="none"/>
                <w:lang w:val="en-US" w:eastAsia="zh-CN"/>
              </w:rPr>
            </w:pPr>
          </w:p>
        </w:tc>
        <w:tc>
          <w:tcPr>
            <w:tcW w:w="6237" w:type="dxa"/>
            <w:vAlign w:val="top"/>
          </w:tcPr>
          <w:p>
            <w:pPr>
              <w:numPr>
                <w:ilvl w:val="0"/>
                <w:numId w:val="0"/>
              </w:numP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val="en-US" w:eastAsia="zh-CN"/>
              </w:rPr>
              <w:t xml:space="preserve">     1.</w:t>
            </w:r>
            <w:r>
              <w:rPr>
                <w:rFonts w:hint="eastAsia" w:ascii="宋体" w:hAnsi="宋体" w:eastAsia="宋体" w:cs="宋体"/>
                <w:color w:val="auto"/>
                <w:sz w:val="21"/>
                <w:szCs w:val="21"/>
                <w:vertAlign w:val="baseline"/>
                <w:lang w:val="en-US" w:eastAsia="zh-CN"/>
              </w:rPr>
              <w:t>专题发文《关于进一步推动对口支援工作的通知》（团粤办发〔2015〕71号），对对口支援工作进行督办，确保对口支援工作按时开展。</w:t>
            </w:r>
          </w:p>
          <w:p>
            <w:pPr>
              <w:numPr>
                <w:ilvl w:val="0"/>
                <w:numId w:val="0"/>
              </w:num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vertAlign w:val="baseline"/>
                <w:lang w:val="en-US" w:eastAsia="zh-CN"/>
              </w:rPr>
              <w:t xml:space="preserve">     2.开展2015年团中央“培养计划”第二批在粤挂职干部及省内首批民族地区挂职干部考察交流活动和2015年广东共青团民族地区挂职干部座谈交流会，促进民族地区干部间的交流。</w:t>
            </w:r>
          </w:p>
        </w:tc>
        <w:tc>
          <w:tcPr>
            <w:tcW w:w="4065" w:type="dxa"/>
            <w:vAlign w:val="top"/>
          </w:tcPr>
          <w:p>
            <w:pPr>
              <w:numPr>
                <w:ilvl w:val="0"/>
                <w:numId w:val="0"/>
              </w:numPr>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color w:val="auto"/>
                <w:sz w:val="21"/>
                <w:szCs w:val="21"/>
                <w:lang w:val="en-US" w:eastAsia="zh-CN"/>
              </w:rPr>
              <w:t xml:space="preserve">    摸查今年未完成的项目并督办。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vAlign w:val="top"/>
          </w:tcPr>
          <w:p>
            <w:pPr>
              <w:rPr>
                <w:rFonts w:hint="eastAsia" w:ascii="方正黑体_GBK" w:hAnsi="方正黑体_GBK" w:eastAsia="方正黑体_GBK" w:cs="方正黑体_GBK"/>
                <w:color w:val="auto"/>
                <w:sz w:val="28"/>
                <w:szCs w:val="28"/>
                <w:highlight w:val="none"/>
                <w:vertAlign w:val="baseline"/>
                <w:lang w:val="en-US" w:eastAsia="zh-CN"/>
              </w:rPr>
            </w:pPr>
            <w:r>
              <w:rPr>
                <w:rFonts w:hint="eastAsia" w:ascii="方正黑体_GBK" w:hAnsi="方正黑体_GBK" w:eastAsia="方正黑体_GBK" w:cs="方正黑体_GBK"/>
                <w:color w:val="auto"/>
                <w:sz w:val="28"/>
                <w:szCs w:val="28"/>
                <w:highlight w:val="none"/>
                <w:vertAlign w:val="baseline"/>
                <w:lang w:val="en-US" w:eastAsia="zh-CN"/>
              </w:rPr>
              <w:t>11</w:t>
            </w:r>
          </w:p>
        </w:tc>
        <w:tc>
          <w:tcPr>
            <w:tcW w:w="2503" w:type="dxa"/>
            <w:vAlign w:val="top"/>
          </w:tcPr>
          <w:p>
            <w:pPr>
              <w:spacing w:line="560" w:lineRule="exact"/>
              <w:rPr>
                <w:rFonts w:hint="eastAsia" w:ascii="方正黑体_GBK" w:hAnsi="方正黑体_GBK" w:eastAsia="方正黑体_GBK" w:cs="方正黑体_GBK"/>
                <w:b/>
                <w:bCs/>
                <w:color w:val="auto"/>
                <w:sz w:val="28"/>
                <w:szCs w:val="28"/>
                <w:highlight w:val="none"/>
              </w:rPr>
            </w:pPr>
            <w:r>
              <w:rPr>
                <w:rFonts w:hint="eastAsia" w:ascii="方正黑体_GBK" w:hAnsi="方正黑体_GBK" w:eastAsia="方正黑体_GBK" w:cs="方正黑体_GBK"/>
                <w:b/>
                <w:bCs/>
                <w:color w:val="auto"/>
                <w:sz w:val="28"/>
                <w:szCs w:val="28"/>
                <w:highlight w:val="none"/>
              </w:rPr>
              <w:t>青少年维权工作</w:t>
            </w:r>
          </w:p>
          <w:p>
            <w:pPr>
              <w:spacing w:line="560" w:lineRule="exact"/>
              <w:rPr>
                <w:rFonts w:hint="eastAsia" w:ascii="方正黑体_GBK" w:hAnsi="方正黑体_GBK" w:eastAsia="方正黑体_GBK" w:cs="方正黑体_GBK"/>
                <w:b/>
                <w:bCs/>
                <w:color w:val="auto"/>
                <w:sz w:val="28"/>
                <w:szCs w:val="28"/>
                <w:highlight w:val="none"/>
                <w:lang w:val="en-US" w:eastAsia="zh-CN"/>
              </w:rPr>
            </w:pPr>
          </w:p>
        </w:tc>
        <w:tc>
          <w:tcPr>
            <w:tcW w:w="6237" w:type="dxa"/>
            <w:vAlign w:val="top"/>
          </w:tcPr>
          <w:p>
            <w:pPr>
              <w:numPr>
                <w:ilvl w:val="0"/>
                <w:numId w:val="0"/>
              </w:numPr>
              <w:rPr>
                <w:rFonts w:hint="eastAsia" w:ascii="宋体" w:hAnsi="宋体" w:eastAsia="宋体" w:cs="宋体"/>
                <w:color w:val="auto"/>
                <w:sz w:val="21"/>
                <w:szCs w:val="21"/>
                <w:lang w:val="zh-CN" w:eastAsia="zh-CN"/>
              </w:rPr>
            </w:pP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color w:val="auto"/>
                <w:sz w:val="21"/>
                <w:szCs w:val="21"/>
                <w:lang w:val="en-US" w:eastAsia="zh-CN"/>
              </w:rPr>
              <w:t xml:space="preserve">  1.</w:t>
            </w:r>
            <w:r>
              <w:rPr>
                <w:rFonts w:hint="eastAsia" w:ascii="宋体" w:hAnsi="宋体" w:eastAsia="宋体" w:cs="宋体"/>
                <w:color w:val="auto"/>
                <w:sz w:val="21"/>
                <w:szCs w:val="21"/>
                <w:lang w:val="zh-CN" w:eastAsia="zh-CN"/>
              </w:rPr>
              <w:t>推进青少年事务社会工作专业人才队伍建设工作，按照团中央《关于加强青少年事务社会工作专业人才队伍建设的意见》要求，积极培养、发掘、凝聚青少年事务社工人才，对我省团干考社工证情况、通过人数进行统计整理。</w:t>
            </w:r>
          </w:p>
          <w:p>
            <w:pPr>
              <w:numPr>
                <w:ilvl w:val="0"/>
                <w:numId w:val="0"/>
              </w:numPr>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lang w:val="zh-CN" w:eastAsia="zh-CN"/>
              </w:rPr>
              <w:t>推进重点青少年群体服务管理和预防犯罪试点工作，</w:t>
            </w:r>
            <w:r>
              <w:rPr>
                <w:rFonts w:hint="eastAsia" w:ascii="宋体" w:hAnsi="宋体" w:eastAsia="宋体" w:cs="宋体"/>
                <w:color w:val="auto"/>
                <w:sz w:val="21"/>
                <w:szCs w:val="21"/>
                <w:lang w:val="en-US" w:eastAsia="zh-CN"/>
              </w:rPr>
              <w:t>推动第三轮重点县区青少年群体服务管理和预防青少年违法犯罪工作，陆续划拨第三轮61个县区每个县区1万的工作经费；</w:t>
            </w:r>
            <w:r>
              <w:rPr>
                <w:rFonts w:hint="eastAsia" w:ascii="宋体" w:hAnsi="宋体" w:eastAsia="宋体" w:cs="宋体"/>
                <w:color w:val="auto"/>
                <w:sz w:val="21"/>
                <w:szCs w:val="21"/>
                <w:lang w:val="zh-CN" w:eastAsia="zh-CN"/>
              </w:rPr>
              <w:t>继续推进我省重点青少年群体摸查工作，解决各地市在数据录入过程中出现的各类问题，收集各地市五类重点青少年的数据信息；第二期“活力在社团”广东省青少年禁毒微行动，在全省各级社会工作（者）协会、各社会工作服务机构、各高校社会工作服务团体中征集45个禁毒微项目，提供</w:t>
            </w:r>
            <w:r>
              <w:rPr>
                <w:rFonts w:hint="eastAsia" w:ascii="宋体" w:hAnsi="宋体" w:eastAsia="宋体" w:cs="宋体"/>
                <w:color w:val="auto"/>
                <w:sz w:val="21"/>
                <w:szCs w:val="21"/>
                <w:lang w:val="en-US" w:eastAsia="zh-CN"/>
              </w:rPr>
              <w:t>1500-3000元不等的经费开展活动；统计半年全省“千名青年律师千场法律服务”活动数据，并做好相关宣传报道；</w:t>
            </w:r>
          </w:p>
          <w:p>
            <w:pPr>
              <w:numPr>
                <w:ilvl w:val="0"/>
                <w:numId w:val="0"/>
              </w:numP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研究部署青少年模拟法庭活动；联合省禁毒办研究成立“广东青少年禁毒公益联盟”。</w:t>
            </w:r>
          </w:p>
          <w:p>
            <w:pPr>
              <w:numPr>
                <w:ilvl w:val="0"/>
                <w:numId w:val="0"/>
              </w:num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lang w:val="en-US" w:eastAsia="zh-CN"/>
              </w:rPr>
              <w:t xml:space="preserve">    3.推进</w:t>
            </w:r>
            <w:r>
              <w:rPr>
                <w:rFonts w:hint="eastAsia" w:ascii="宋体" w:hAnsi="宋体" w:eastAsia="宋体" w:cs="宋体"/>
                <w:color w:val="auto"/>
                <w:sz w:val="21"/>
                <w:szCs w:val="21"/>
                <w:lang w:val="zh-CN" w:eastAsia="zh-CN"/>
              </w:rPr>
              <w:t>青少年社区矫正工作，《关于共青团参与青少年社区矫正试点工作情况的报告》获省委主要领导批示；召开“广东省青少年社区矫正工作推进会及培训班”；拨款116万给21个地市建立社区矫正帮扶基地。</w:t>
            </w:r>
          </w:p>
        </w:tc>
        <w:tc>
          <w:tcPr>
            <w:tcW w:w="4065" w:type="dxa"/>
            <w:vAlign w:val="top"/>
          </w:tcPr>
          <w:p>
            <w:pPr>
              <w:numPr>
                <w:ilvl w:val="0"/>
                <w:numId w:val="0"/>
              </w:numPr>
              <w:ind w:firstLine="420" w:firstLineChars="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en-US" w:eastAsia="zh-CN"/>
              </w:rPr>
              <w:t>1.继续</w:t>
            </w:r>
            <w:r>
              <w:rPr>
                <w:rFonts w:hint="eastAsia" w:ascii="宋体" w:hAnsi="宋体" w:eastAsia="宋体" w:cs="宋体"/>
                <w:color w:val="auto"/>
                <w:sz w:val="21"/>
                <w:szCs w:val="21"/>
                <w:lang w:val="zh-CN"/>
              </w:rPr>
              <w:t>督促指导各地市建立青少年事务社会工作专业人才队伍。</w:t>
            </w:r>
          </w:p>
          <w:p>
            <w:pPr>
              <w:numPr>
                <w:ilvl w:val="0"/>
                <w:numId w:val="0"/>
              </w:num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指导</w:t>
            </w:r>
            <w:r>
              <w:rPr>
                <w:rFonts w:hint="eastAsia" w:ascii="宋体" w:hAnsi="宋体" w:eastAsia="宋体" w:cs="宋体"/>
                <w:color w:val="auto"/>
                <w:sz w:val="21"/>
                <w:szCs w:val="21"/>
                <w:lang w:eastAsia="zh-CN"/>
              </w:rPr>
              <w:t>第三轮</w:t>
            </w:r>
            <w:r>
              <w:rPr>
                <w:rFonts w:hint="eastAsia" w:ascii="宋体" w:hAnsi="宋体" w:eastAsia="宋体" w:cs="宋体"/>
                <w:color w:val="auto"/>
                <w:sz w:val="21"/>
                <w:szCs w:val="21"/>
              </w:rPr>
              <w:t>县区做好重点青少年服务管理工作</w:t>
            </w:r>
            <w:r>
              <w:rPr>
                <w:rFonts w:hint="eastAsia" w:ascii="宋体" w:hAnsi="宋体" w:eastAsia="宋体" w:cs="宋体"/>
                <w:color w:val="auto"/>
                <w:sz w:val="21"/>
                <w:szCs w:val="21"/>
                <w:lang w:eastAsia="zh-CN"/>
              </w:rPr>
              <w:t>；开展</w:t>
            </w:r>
            <w:r>
              <w:rPr>
                <w:rFonts w:hint="eastAsia" w:ascii="宋体" w:hAnsi="宋体" w:eastAsia="宋体" w:cs="宋体"/>
                <w:color w:val="auto"/>
                <w:sz w:val="21"/>
                <w:szCs w:val="21"/>
              </w:rPr>
              <w:t>第二期“活力在社团”青少年禁毒微行动</w:t>
            </w:r>
            <w:r>
              <w:rPr>
                <w:rFonts w:hint="eastAsia" w:ascii="宋体" w:hAnsi="宋体" w:eastAsia="宋体" w:cs="宋体"/>
                <w:color w:val="auto"/>
                <w:sz w:val="21"/>
                <w:szCs w:val="21"/>
                <w:lang w:eastAsia="zh-CN"/>
              </w:rPr>
              <w:t>活动总结；</w:t>
            </w:r>
            <w:r>
              <w:rPr>
                <w:rFonts w:hint="eastAsia" w:ascii="宋体" w:hAnsi="宋体" w:eastAsia="宋体" w:cs="宋体"/>
                <w:color w:val="auto"/>
                <w:sz w:val="21"/>
                <w:szCs w:val="21"/>
              </w:rPr>
              <w:t>确定青少年模拟法庭活动形式，细化工作方案并在全省范围内开展实施</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进一步探讨公益联盟的组织形式、工作方向。</w:t>
            </w:r>
          </w:p>
          <w:p>
            <w:pPr>
              <w:numPr>
                <w:ilvl w:val="0"/>
                <w:numId w:val="0"/>
              </w:numPr>
              <w:ind w:firstLine="420" w:firstLineChars="200"/>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3.</w:t>
            </w:r>
            <w:r>
              <w:rPr>
                <w:rFonts w:hint="eastAsia" w:ascii="宋体" w:hAnsi="宋体" w:eastAsia="宋体" w:cs="宋体"/>
                <w:color w:val="auto"/>
                <w:sz w:val="21"/>
                <w:szCs w:val="21"/>
                <w:lang w:val="zh-CN"/>
              </w:rPr>
              <w:t>对接司法厅更新省市社区服刑人员相关数据。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vAlign w:val="top"/>
          </w:tcPr>
          <w:p>
            <w:pPr>
              <w:rPr>
                <w:rFonts w:hint="eastAsia" w:ascii="方正黑体_GBK" w:hAnsi="方正黑体_GBK" w:eastAsia="方正黑体_GBK" w:cs="方正黑体_GBK"/>
                <w:color w:val="auto"/>
                <w:sz w:val="28"/>
                <w:szCs w:val="28"/>
                <w:highlight w:val="none"/>
                <w:vertAlign w:val="baseline"/>
                <w:lang w:val="en-US" w:eastAsia="zh-CN"/>
              </w:rPr>
            </w:pPr>
            <w:r>
              <w:rPr>
                <w:rFonts w:hint="eastAsia" w:ascii="方正黑体_GBK" w:hAnsi="方正黑体_GBK" w:eastAsia="方正黑体_GBK" w:cs="方正黑体_GBK"/>
                <w:color w:val="auto"/>
                <w:sz w:val="28"/>
                <w:szCs w:val="28"/>
                <w:highlight w:val="none"/>
                <w:vertAlign w:val="baseline"/>
                <w:lang w:val="en-US" w:eastAsia="zh-CN"/>
              </w:rPr>
              <w:t>12</w:t>
            </w:r>
          </w:p>
        </w:tc>
        <w:tc>
          <w:tcPr>
            <w:tcW w:w="2503" w:type="dxa"/>
            <w:vAlign w:val="top"/>
          </w:tcPr>
          <w:p>
            <w:pPr>
              <w:spacing w:line="560" w:lineRule="exact"/>
              <w:rPr>
                <w:rFonts w:hint="eastAsia" w:ascii="方正黑体_GBK" w:hAnsi="方正黑体_GBK" w:eastAsia="方正黑体_GBK" w:cs="方正黑体_GBK"/>
                <w:b/>
                <w:bCs/>
                <w:color w:val="auto"/>
                <w:sz w:val="28"/>
                <w:szCs w:val="28"/>
                <w:highlight w:val="none"/>
                <w:lang w:val="zh-CN"/>
              </w:rPr>
            </w:pPr>
            <w:r>
              <w:rPr>
                <w:rFonts w:hint="eastAsia" w:ascii="方正黑体_GBK" w:hAnsi="方正黑体_GBK" w:eastAsia="方正黑体_GBK" w:cs="方正黑体_GBK"/>
                <w:b/>
                <w:bCs/>
                <w:color w:val="auto"/>
                <w:sz w:val="28"/>
                <w:szCs w:val="28"/>
                <w:highlight w:val="none"/>
                <w:lang w:val="zh-CN"/>
              </w:rPr>
              <w:t>志愿服务重点工作</w:t>
            </w:r>
          </w:p>
          <w:p>
            <w:pPr>
              <w:spacing w:line="560" w:lineRule="exact"/>
              <w:rPr>
                <w:rFonts w:hint="eastAsia" w:ascii="方正黑体_GBK" w:hAnsi="方正黑体_GBK" w:eastAsia="方正黑体_GBK" w:cs="方正黑体_GBK"/>
                <w:b/>
                <w:bCs/>
                <w:color w:val="auto"/>
                <w:sz w:val="28"/>
                <w:szCs w:val="28"/>
                <w:highlight w:val="none"/>
                <w:lang w:val="en-US" w:eastAsia="zh-CN"/>
              </w:rPr>
            </w:pPr>
          </w:p>
        </w:tc>
        <w:tc>
          <w:tcPr>
            <w:tcW w:w="6237" w:type="dxa"/>
            <w:vAlign w:val="top"/>
          </w:tcPr>
          <w:p>
            <w:pPr>
              <w:autoSpaceDE w:val="0"/>
              <w:autoSpaceDN w:val="0"/>
              <w:adjustRightInd w:val="0"/>
              <w:spacing w:line="300" w:lineRule="exact"/>
              <w:jc w:val="left"/>
              <w:rPr>
                <w:rFonts w:hint="eastAsia" w:ascii="宋体" w:hAnsi="宋体" w:eastAsia="宋体" w:cs="宋体"/>
                <w:b w:val="0"/>
                <w:bCs w:val="0"/>
                <w:color w:val="auto"/>
                <w:kern w:val="0"/>
                <w:sz w:val="21"/>
                <w:szCs w:val="21"/>
                <w:lang w:val="zh-CN"/>
              </w:rPr>
            </w:pPr>
            <w:r>
              <w:rPr>
                <w:rFonts w:hint="eastAsia" w:ascii="宋体" w:hAnsi="宋体" w:eastAsia="宋体" w:cs="宋体"/>
                <w:color w:val="auto"/>
                <w:sz w:val="21"/>
                <w:szCs w:val="21"/>
                <w:lang w:val="en-US" w:eastAsia="zh-CN"/>
              </w:rPr>
              <w:t xml:space="preserve"> </w:t>
            </w:r>
            <w:r>
              <w:rPr>
                <w:rFonts w:hint="eastAsia" w:ascii="宋体" w:hAnsi="宋体" w:eastAsia="宋体" w:cs="宋体"/>
                <w:b w:val="0"/>
                <w:bCs w:val="0"/>
                <w:color w:val="auto"/>
                <w:sz w:val="21"/>
                <w:szCs w:val="21"/>
                <w:lang w:val="en-US" w:eastAsia="zh-CN"/>
              </w:rPr>
              <w:t xml:space="preserve">   </w:t>
            </w:r>
            <w:r>
              <w:rPr>
                <w:rFonts w:hint="eastAsia" w:ascii="宋体" w:hAnsi="宋体" w:eastAsia="宋体" w:cs="宋体"/>
                <w:b w:val="0"/>
                <w:bCs w:val="0"/>
                <w:color w:val="auto"/>
                <w:sz w:val="21"/>
                <w:szCs w:val="21"/>
              </w:rPr>
              <w:t>1.青年志愿者助残“阳光行动：</w:t>
            </w:r>
            <w:r>
              <w:rPr>
                <w:rFonts w:hint="eastAsia" w:ascii="宋体" w:hAnsi="宋体" w:eastAsia="宋体" w:cs="宋体"/>
                <w:b w:val="0"/>
                <w:bCs w:val="0"/>
                <w:color w:val="auto"/>
                <w:kern w:val="0"/>
                <w:sz w:val="21"/>
                <w:szCs w:val="21"/>
                <w:lang w:val="zh-CN"/>
              </w:rPr>
              <w:t>“微梦想”助残公益活动等5个助残类项目入围第二届中国青年志愿服务项目大赛全国赛，“明月云屋（残疾人网上创业与就业孵化基地）”入围项目大赛公益创业专项赛；</w:t>
            </w:r>
            <w:r>
              <w:rPr>
                <w:rFonts w:hint="eastAsia" w:ascii="宋体" w:hAnsi="宋体" w:eastAsia="宋体" w:cs="宋体"/>
                <w:b w:val="0"/>
                <w:bCs w:val="0"/>
                <w:color w:val="auto"/>
                <w:sz w:val="21"/>
                <w:szCs w:val="21"/>
              </w:rPr>
              <w:t>举办2015年全省志愿者骨干训练营（志愿助残专场）</w:t>
            </w:r>
            <w:r>
              <w:rPr>
                <w:rFonts w:hint="eastAsia" w:ascii="宋体" w:hAnsi="宋体" w:eastAsia="宋体" w:cs="宋体"/>
                <w:b w:val="0"/>
                <w:bCs w:val="0"/>
                <w:color w:val="auto"/>
                <w:sz w:val="21"/>
                <w:szCs w:val="21"/>
                <w:lang w:eastAsia="zh-CN"/>
              </w:rPr>
              <w:t>。</w:t>
            </w:r>
          </w:p>
          <w:p>
            <w:pPr>
              <w:autoSpaceDE w:val="0"/>
              <w:autoSpaceDN w:val="0"/>
              <w:adjustRightInd w:val="0"/>
              <w:spacing w:line="300" w:lineRule="exact"/>
              <w:jc w:val="left"/>
              <w:rPr>
                <w:rFonts w:hint="eastAsia" w:ascii="宋体" w:hAnsi="宋体" w:eastAsia="宋体" w:cs="宋体"/>
                <w:b w:val="0"/>
                <w:bCs w:val="0"/>
                <w:color w:val="auto"/>
                <w:kern w:val="0"/>
                <w:sz w:val="21"/>
                <w:szCs w:val="21"/>
                <w:lang w:val="zh-CN"/>
              </w:rPr>
            </w:pPr>
            <w:r>
              <w:rPr>
                <w:rFonts w:hint="eastAsia" w:ascii="宋体" w:hAnsi="宋体" w:eastAsia="宋体" w:cs="宋体"/>
                <w:b w:val="0"/>
                <w:bCs w:val="0"/>
                <w:color w:val="auto"/>
                <w:kern w:val="0"/>
                <w:sz w:val="21"/>
                <w:szCs w:val="21"/>
                <w:lang w:val="en-US" w:eastAsia="zh-CN"/>
              </w:rPr>
              <w:t xml:space="preserve">   </w:t>
            </w:r>
            <w:r>
              <w:rPr>
                <w:rFonts w:hint="eastAsia" w:ascii="宋体" w:hAnsi="宋体" w:eastAsia="宋体" w:cs="宋体"/>
                <w:b w:val="0"/>
                <w:bCs w:val="0"/>
                <w:color w:val="auto"/>
                <w:kern w:val="0"/>
                <w:sz w:val="21"/>
                <w:szCs w:val="21"/>
                <w:lang w:val="zh-CN"/>
              </w:rPr>
              <w:t>2.关爱农民工子女志愿服务行动：莞港交流－－新候鸟社区儿童教育志愿服务项目等4个关爱农民工子女志愿服务项目入围第二届中国青年志愿服务项目大赛全国赛。</w:t>
            </w:r>
          </w:p>
          <w:p>
            <w:pPr>
              <w:autoSpaceDE w:val="0"/>
              <w:autoSpaceDN w:val="0"/>
              <w:adjustRightInd w:val="0"/>
              <w:spacing w:line="300" w:lineRule="exact"/>
              <w:jc w:val="left"/>
              <w:rPr>
                <w:rFonts w:hint="eastAsia" w:ascii="宋体" w:hAnsi="宋体" w:eastAsia="宋体" w:cs="宋体"/>
                <w:color w:val="auto"/>
                <w:kern w:val="0"/>
                <w:sz w:val="21"/>
                <w:szCs w:val="21"/>
                <w:lang w:val="zh-CN"/>
              </w:rPr>
            </w:pPr>
            <w:r>
              <w:rPr>
                <w:rFonts w:hint="eastAsia" w:ascii="宋体" w:hAnsi="宋体" w:eastAsia="宋体" w:cs="宋体"/>
                <w:b w:val="0"/>
                <w:bCs w:val="0"/>
                <w:color w:val="auto"/>
                <w:kern w:val="0"/>
                <w:sz w:val="21"/>
                <w:szCs w:val="21"/>
                <w:lang w:val="en-US" w:eastAsia="zh-CN"/>
              </w:rPr>
              <w:t xml:space="preserve">   </w:t>
            </w:r>
            <w:r>
              <w:rPr>
                <w:rFonts w:hint="eastAsia" w:ascii="宋体" w:hAnsi="宋体" w:eastAsia="宋体" w:cs="宋体"/>
                <w:b w:val="0"/>
                <w:bCs w:val="0"/>
                <w:color w:val="auto"/>
                <w:kern w:val="0"/>
                <w:sz w:val="21"/>
                <w:szCs w:val="21"/>
                <w:lang w:val="zh-CN"/>
              </w:rPr>
              <w:t>3.广东志愿者“一张网”的应用推广：完善广东志愿者网的业务功能，持续改善平台的用户体验；梳理“</w:t>
            </w:r>
            <w:r>
              <w:rPr>
                <w:rFonts w:hint="eastAsia" w:ascii="宋体" w:hAnsi="宋体" w:eastAsia="宋体" w:cs="宋体"/>
                <w:color w:val="auto"/>
                <w:kern w:val="0"/>
                <w:sz w:val="21"/>
                <w:szCs w:val="21"/>
                <w:lang w:val="zh-CN"/>
              </w:rPr>
              <w:t>广东志愿者”系统业务流程，为下一阶段系统的重建重构做好前期准备工作。截止2015年11月8日，平台注册志愿者740.17万人，志愿者组织3.35万个，发起服务项目15.93万个，为社会贡献服务时间逾亿个小时。</w:t>
            </w:r>
          </w:p>
          <w:p>
            <w:pPr>
              <w:autoSpaceDE w:val="0"/>
              <w:autoSpaceDN w:val="0"/>
              <w:adjustRightInd w:val="0"/>
              <w:spacing w:line="300" w:lineRule="exact"/>
              <w:jc w:val="left"/>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kern w:val="0"/>
                <w:sz w:val="21"/>
                <w:szCs w:val="21"/>
                <w:lang w:val="en-US" w:eastAsia="zh-CN"/>
              </w:rPr>
              <w:t xml:space="preserve">   4.</w:t>
            </w:r>
            <w:r>
              <w:rPr>
                <w:rFonts w:hint="eastAsia" w:ascii="宋体" w:hAnsi="宋体" w:eastAsia="宋体" w:cs="宋体"/>
                <w:b w:val="0"/>
                <w:bCs w:val="0"/>
                <w:color w:val="auto"/>
                <w:sz w:val="21"/>
                <w:szCs w:val="21"/>
                <w:highlight w:val="none"/>
                <w:lang w:val="zh-CN" w:eastAsia="zh-CN"/>
              </w:rPr>
              <w:t>成立广东青年大数据及新媒体中心，统筹“广东志愿者”平台的社会化建设运营；完善广东志愿者网的业务功能，持续改善平台的用户体验。截止10月8日，平台注册志愿者725万人，志愿者组织3.3万个，发起服务项目15万个，为社会贡献服务时间亿个小时。</w:t>
            </w:r>
          </w:p>
        </w:tc>
        <w:tc>
          <w:tcPr>
            <w:tcW w:w="4065" w:type="dxa"/>
            <w:vAlign w:val="top"/>
          </w:tcPr>
          <w:p>
            <w:pPr>
              <w:spacing w:line="300" w:lineRule="exact"/>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sz w:val="21"/>
                <w:szCs w:val="21"/>
              </w:rPr>
              <w:t>1.</w:t>
            </w:r>
            <w:r>
              <w:rPr>
                <w:rFonts w:hint="eastAsia" w:ascii="宋体" w:hAnsi="宋体" w:eastAsia="宋体" w:cs="宋体"/>
                <w:color w:val="auto"/>
                <w:kern w:val="0"/>
                <w:sz w:val="21"/>
                <w:szCs w:val="21"/>
                <w:lang w:val="zh-CN"/>
              </w:rPr>
              <w:t>联合省文明办等单位组建志愿服务督导团，提升助残、关爱农民工子女等志愿服务专业化水平；邀请专家学者、公益达人组成项目导师团，通过结对指导、专题授课、路演答辩等方式对项目团队进行培训，提升项目质量，力争取得优异成绩。</w:t>
            </w:r>
          </w:p>
          <w:p>
            <w:pPr>
              <w:spacing w:line="300" w:lineRule="exact"/>
              <w:ind w:firstLine="420" w:firstLineChars="200"/>
              <w:rPr>
                <w:rFonts w:hint="eastAsia" w:ascii="宋体" w:hAnsi="宋体" w:eastAsia="宋体" w:cs="宋体"/>
                <w:b w:val="0"/>
                <w:bCs w:val="0"/>
                <w:color w:val="auto"/>
                <w:sz w:val="21"/>
                <w:szCs w:val="21"/>
                <w:highlight w:val="none"/>
                <w:vertAlign w:val="baseline"/>
                <w:lang w:val="en-US" w:eastAsia="zh-CN"/>
              </w:rPr>
            </w:pPr>
            <w:r>
              <w:rPr>
                <w:rFonts w:hint="eastAsia" w:ascii="宋体" w:hAnsi="宋体" w:eastAsia="宋体" w:cs="宋体"/>
                <w:color w:val="auto"/>
                <w:sz w:val="21"/>
                <w:szCs w:val="21"/>
              </w:rPr>
              <w:t>2.广东志愿者“一张网”的应用推广：持续改良完善广东志愿者网的业务功能及用户体验；进一步讨论梳理“广东志愿者”系统业务流程，安排系统重建重构整体推进计划。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5" w:type="dxa"/>
            <w:vAlign w:val="top"/>
          </w:tcPr>
          <w:p>
            <w:pPr>
              <w:rPr>
                <w:rFonts w:hint="eastAsia" w:ascii="方正黑体_GBK" w:hAnsi="方正黑体_GBK" w:eastAsia="方正黑体_GBK" w:cs="方正黑体_GBK"/>
                <w:color w:val="auto"/>
                <w:sz w:val="28"/>
                <w:szCs w:val="28"/>
                <w:highlight w:val="none"/>
                <w:vertAlign w:val="baseline"/>
                <w:lang w:val="en-US" w:eastAsia="zh-CN"/>
              </w:rPr>
            </w:pPr>
            <w:r>
              <w:rPr>
                <w:rFonts w:hint="eastAsia" w:ascii="方正黑体_GBK" w:hAnsi="方正黑体_GBK" w:eastAsia="方正黑体_GBK" w:cs="方正黑体_GBK"/>
                <w:color w:val="auto"/>
                <w:sz w:val="28"/>
                <w:szCs w:val="28"/>
                <w:highlight w:val="none"/>
                <w:vertAlign w:val="baseline"/>
                <w:lang w:val="en-US" w:eastAsia="zh-CN"/>
              </w:rPr>
              <w:t>13</w:t>
            </w:r>
          </w:p>
        </w:tc>
        <w:tc>
          <w:tcPr>
            <w:tcW w:w="2503" w:type="dxa"/>
            <w:vAlign w:val="top"/>
          </w:tcPr>
          <w:p>
            <w:pPr>
              <w:spacing w:line="560" w:lineRule="exact"/>
              <w:rPr>
                <w:rFonts w:hint="eastAsia" w:ascii="方正黑体_GBK" w:hAnsi="方正黑体_GBK" w:eastAsia="方正黑体_GBK" w:cs="方正黑体_GBK"/>
                <w:b/>
                <w:bCs/>
                <w:color w:val="auto"/>
                <w:sz w:val="28"/>
                <w:szCs w:val="28"/>
                <w:highlight w:val="none"/>
              </w:rPr>
            </w:pPr>
            <w:r>
              <w:rPr>
                <w:rFonts w:hint="eastAsia" w:ascii="方正黑体_GBK" w:hAnsi="方正黑体_GBK" w:eastAsia="方正黑体_GBK" w:cs="方正黑体_GBK"/>
                <w:b/>
                <w:bCs/>
                <w:color w:val="auto"/>
                <w:sz w:val="28"/>
                <w:szCs w:val="28"/>
                <w:highlight w:val="none"/>
              </w:rPr>
              <w:t>港澳台青少年及国际青年交流工作</w:t>
            </w:r>
          </w:p>
          <w:p>
            <w:pPr>
              <w:spacing w:line="560" w:lineRule="exact"/>
              <w:rPr>
                <w:rFonts w:hint="eastAsia" w:ascii="方正黑体_GBK" w:hAnsi="方正黑体_GBK" w:eastAsia="方正黑体_GBK" w:cs="方正黑体_GBK"/>
                <w:b/>
                <w:bCs/>
                <w:color w:val="auto"/>
                <w:sz w:val="28"/>
                <w:szCs w:val="28"/>
                <w:highlight w:val="none"/>
                <w:lang w:val="en-US" w:eastAsia="zh-CN"/>
              </w:rPr>
            </w:pPr>
          </w:p>
        </w:tc>
        <w:tc>
          <w:tcPr>
            <w:tcW w:w="6237" w:type="dxa"/>
            <w:vAlign w:val="top"/>
          </w:tcPr>
          <w:p>
            <w:pPr>
              <w:numPr>
                <w:ilvl w:val="0"/>
                <w:numId w:val="0"/>
              </w:numPr>
              <w:ind w:firstLine="420" w:firstLineChars="200"/>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zh-CN" w:eastAsia="zh-CN"/>
              </w:rPr>
              <w:t>联合省港澳办、香港国民教育促进会，组织400多名香港青少年到深圳、河源开展“东江之水越山来”历史追溯考察活动，通过考察帮助香港青少年深入了解东江水供港历史。</w:t>
            </w:r>
          </w:p>
          <w:p>
            <w:pPr>
              <w:numPr>
                <w:ilvl w:val="0"/>
                <w:numId w:val="0"/>
              </w:numPr>
              <w:ind w:firstLine="420" w:firstLineChars="200"/>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zh-CN" w:eastAsia="zh-CN"/>
              </w:rPr>
              <w:t>组织120多名港澳台大学生举办粤港澳台中医药大学生交流活动，通过参观医药企业、主题交流会等途径，促进两岸四地大学生在中医药领域的专业交流。</w:t>
            </w:r>
          </w:p>
          <w:p>
            <w:pPr>
              <w:numPr>
                <w:ilvl w:val="0"/>
                <w:numId w:val="0"/>
              </w:numPr>
              <w:ind w:firstLine="420" w:firstLineChars="200"/>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lang w:val="zh-CN" w:eastAsia="zh-CN"/>
              </w:rPr>
              <w:t>联合香港中联办，组织63名全国青联香港特邀委员前往佛山开展考察活动，招玉芳副省长会见交流团一行。</w:t>
            </w:r>
          </w:p>
          <w:p>
            <w:pPr>
              <w:numPr>
                <w:ilvl w:val="0"/>
                <w:numId w:val="0"/>
              </w:numPr>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4.接待马来西亚华人公会青年团，组织参观了建筑协会、能源公司，并与广东青年企业家座谈交流。</w:t>
            </w:r>
          </w:p>
          <w:p>
            <w:pPr>
              <w:numPr>
                <w:ilvl w:val="0"/>
                <w:numId w:val="0"/>
              </w:numPr>
              <w:ind w:firstLine="420" w:firstLineChars="200"/>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5.联合省外办、广外举办了“第一期太平洋岛国青年领袖培训班青年对话”，双方就多个领域达成了加强交流的共识，并希望借助“一带一路”战略推进，中国与太平洋岛国青年将有更多互惠互利的深层次交流与合作。</w:t>
            </w:r>
          </w:p>
        </w:tc>
        <w:tc>
          <w:tcPr>
            <w:tcW w:w="4065" w:type="dxa"/>
            <w:vAlign w:val="top"/>
          </w:tcPr>
          <w:p>
            <w:pPr>
              <w:numPr>
                <w:ilvl w:val="0"/>
                <w:numId w:val="0"/>
              </w:numPr>
              <w:rPr>
                <w:rFonts w:hint="eastAsia" w:ascii="宋体" w:hAnsi="宋体" w:eastAsia="宋体" w:cs="宋体"/>
                <w:b w:val="0"/>
                <w:bCs w:val="0"/>
                <w:color w:val="auto"/>
                <w:sz w:val="21"/>
                <w:szCs w:val="21"/>
                <w:highlight w:val="none"/>
                <w:lang w:val="zh-CN" w:eastAsia="zh-CN"/>
              </w:rPr>
            </w:pPr>
            <w:r>
              <w:rPr>
                <w:rFonts w:hint="eastAsia" w:ascii="宋体" w:hAnsi="宋体" w:eastAsia="宋体" w:cs="宋体"/>
                <w:b w:val="0"/>
                <w:bCs w:val="0"/>
                <w:color w:val="auto"/>
                <w:sz w:val="21"/>
                <w:szCs w:val="21"/>
                <w:highlight w:val="none"/>
                <w:lang w:val="en-US" w:eastAsia="zh-CN"/>
              </w:rPr>
              <w:t xml:space="preserve">    1.</w:t>
            </w:r>
            <w:r>
              <w:rPr>
                <w:rFonts w:hint="eastAsia" w:ascii="宋体" w:hAnsi="宋体" w:eastAsia="宋体" w:cs="宋体"/>
                <w:b w:val="0"/>
                <w:bCs w:val="0"/>
                <w:color w:val="auto"/>
                <w:sz w:val="21"/>
                <w:szCs w:val="21"/>
                <w:highlight w:val="none"/>
                <w:lang w:val="zh-CN" w:eastAsia="zh-CN"/>
              </w:rPr>
              <w:t>对接好港澳台社团，继续完成“青年同心圆计划”任务；</w:t>
            </w:r>
          </w:p>
          <w:p>
            <w:pPr>
              <w:numPr>
                <w:ilvl w:val="0"/>
                <w:numId w:val="0"/>
              </w:numPr>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    2.接待全国青联邀请的法国青年团到粤访问。</w:t>
            </w:r>
          </w:p>
          <w:p>
            <w:pPr>
              <w:numPr>
                <w:ilvl w:val="0"/>
                <w:numId w:val="0"/>
              </w:numPr>
              <w:rPr>
                <w:rFonts w:hint="eastAsia" w:ascii="宋体" w:hAnsi="宋体" w:eastAsia="宋体" w:cs="宋体"/>
                <w:b w:val="0"/>
                <w:bCs w:val="0"/>
                <w:color w:val="auto"/>
                <w:sz w:val="21"/>
                <w:szCs w:val="21"/>
                <w:highlight w:val="none"/>
                <w:vertAlign w:val="baseline"/>
                <w:lang w:val="en-US" w:eastAsia="zh-CN"/>
              </w:rPr>
            </w:pPr>
          </w:p>
        </w:tc>
      </w:tr>
    </w:tbl>
    <w:p>
      <w:pPr>
        <w:rPr>
          <w:color w:val="auto"/>
        </w:rPr>
      </w:pPr>
    </w:p>
    <w:p>
      <w:pPr>
        <w:jc w:val="center"/>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sz w:val="32"/>
          <w:szCs w:val="32"/>
        </w:rPr>
      </w:pPr>
    </w:p>
    <w:p>
      <w:pPr/>
    </w:p>
    <w:sectPr>
      <w:pgSz w:w="16838" w:h="11906" w:orient="landscape"/>
      <w:pgMar w:top="1803" w:right="1440" w:bottom="1803" w:left="1440"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roman"/>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w:panose1 w:val="020B0604020202020204"/>
    <w:charset w:val="01"/>
    <w:family w:val="roman"/>
    <w:pitch w:val="default"/>
    <w:sig w:usb0="00007A87" w:usb1="80000000" w:usb2="00000008" w:usb3="00000000" w:csb0="400001FF" w:csb1="FFFF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47667113">
    <w:nsid w:val="5649A5A9"/>
    <w:multiLevelType w:val="singleLevel"/>
    <w:tmpl w:val="5649A5A9"/>
    <w:lvl w:ilvl="0" w:tentative="1">
      <w:start w:val="1"/>
      <w:numFmt w:val="decimal"/>
      <w:suff w:val="nothing"/>
      <w:lvlText w:val="%1."/>
      <w:lvlJc w:val="left"/>
    </w:lvl>
  </w:abstractNum>
  <w:abstractNum w:abstractNumId="1447666846">
    <w:nsid w:val="5649A49E"/>
    <w:multiLevelType w:val="singleLevel"/>
    <w:tmpl w:val="5649A49E"/>
    <w:lvl w:ilvl="0" w:tentative="1">
      <w:start w:val="1"/>
      <w:numFmt w:val="decimal"/>
      <w:suff w:val="nothing"/>
      <w:lvlText w:val="%1."/>
      <w:lvlJc w:val="left"/>
    </w:lvl>
  </w:abstractNum>
  <w:abstractNum w:abstractNumId="1447662950">
    <w:nsid w:val="56499566"/>
    <w:multiLevelType w:val="singleLevel"/>
    <w:tmpl w:val="56499566"/>
    <w:lvl w:ilvl="0" w:tentative="1">
      <w:start w:val="2"/>
      <w:numFmt w:val="decimal"/>
      <w:suff w:val="nothing"/>
      <w:lvlText w:val="%1."/>
      <w:lvlJc w:val="left"/>
    </w:lvl>
  </w:abstractNum>
  <w:abstractNum w:abstractNumId="1447668803">
    <w:nsid w:val="5649AC43"/>
    <w:multiLevelType w:val="singleLevel"/>
    <w:tmpl w:val="5649AC43"/>
    <w:lvl w:ilvl="0" w:tentative="1">
      <w:start w:val="1"/>
      <w:numFmt w:val="decimal"/>
      <w:suff w:val="nothing"/>
      <w:lvlText w:val="%1."/>
      <w:lvlJc w:val="left"/>
    </w:lvl>
  </w:abstractNum>
  <w:abstractNum w:abstractNumId="1447669529">
    <w:nsid w:val="5649AF19"/>
    <w:multiLevelType w:val="singleLevel"/>
    <w:tmpl w:val="5649AF19"/>
    <w:lvl w:ilvl="0" w:tentative="1">
      <w:start w:val="1"/>
      <w:numFmt w:val="decimal"/>
      <w:suff w:val="nothing"/>
      <w:lvlText w:val="%1."/>
      <w:lvlJc w:val="left"/>
    </w:lvl>
  </w:abstractNum>
  <w:num w:numId="1">
    <w:abstractNumId w:val="1447662950"/>
  </w:num>
  <w:num w:numId="2">
    <w:abstractNumId w:val="1447666846"/>
  </w:num>
  <w:num w:numId="3">
    <w:abstractNumId w:val="1447667113"/>
  </w:num>
  <w:num w:numId="4">
    <w:abstractNumId w:val="1447668803"/>
  </w:num>
  <w:num w:numId="5">
    <w:abstractNumId w:val="14476695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03050F"/>
    <w:rsid w:val="0B03050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2015-11-26T06:49:00Z</dcterms:created>
  <dc:creator>陈丹纯</dc:creator>
  <cp:lastModifiedBy>陈丹纯</cp:lastModifiedBy>
  <dcterms:modified xsi:type="dcterms:W3CDTF">2015-11-26T06:49:53Z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